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4320" w:leader="none"/>
        </w:tabs>
        <w:spacing w:before="0" w:after="0"/>
        <w:rPr/>
      </w:pPr>
      <w:r>
        <w:rPr/>
        <w:t>UNITED STATES OF AMERICA</w:t>
      </w:r>
    </w:p>
    <w:p>
      <w:pPr>
        <w:pStyle w:val="Normal"/>
        <w:tabs>
          <w:tab w:val="clear" w:pos="720"/>
          <w:tab w:val="center" w:pos="4320" w:leader="none"/>
        </w:tabs>
        <w:jc w:val="center"/>
        <w:rPr>
          <w:b/>
        </w:rPr>
      </w:pPr>
      <w:r>
        <w:rPr>
          <w:b/>
        </w:rPr>
        <w:t>BEFORE THE</w:t>
      </w:r>
    </w:p>
    <w:p>
      <w:pPr>
        <w:pStyle w:val="Normal"/>
        <w:tabs>
          <w:tab w:val="clear" w:pos="720"/>
          <w:tab w:val="center" w:pos="4320" w:leader="none"/>
        </w:tabs>
        <w:jc w:val="center"/>
        <w:rPr>
          <w:b/>
        </w:rPr>
      </w:pPr>
      <w:r>
        <w:rPr>
          <w:b/>
        </w:rPr>
        <w:t>FEDERAL ENERGY REGULATORY COMMISSION</w:t>
      </w:r>
    </w:p>
    <w:p>
      <w:pPr>
        <w:pStyle w:val="Normal"/>
        <w:tabs>
          <w:tab w:val="clear" w:pos="720"/>
          <w:tab w:val="center" w:pos="4320" w:leader="none"/>
        </w:tabs>
        <w:jc w:val="center"/>
        <w:rPr>
          <w:b/>
        </w:rPr>
      </w:pPr>
      <w:r>
        <w:rPr>
          <w:b/>
        </w:rPr>
      </w:r>
    </w:p>
    <w:p>
      <w:pPr>
        <w:pStyle w:val="Normal"/>
        <w:tabs>
          <w:tab w:val="clear" w:pos="720"/>
          <w:tab w:val="center" w:pos="-180" w:leader="none"/>
        </w:tabs>
        <w:rPr/>
      </w:pPr>
      <w:r>
        <w:rPr/>
        <w:t>San Diego Gas &amp; Electric Company,</w:t>
        <w:tab/>
        <w:tab/>
        <w:t>)</w:t>
      </w:r>
    </w:p>
    <w:p>
      <w:pPr>
        <w:pStyle w:val="Normal"/>
        <w:tabs>
          <w:tab w:val="clear" w:pos="720"/>
          <w:tab w:val="center" w:pos="-180" w:leader="none"/>
        </w:tabs>
        <w:rPr/>
      </w:pPr>
      <w:r>
        <w:rPr/>
        <w:tab/>
        <w:tab/>
        <w:t>Complainant,</w:t>
        <w:tab/>
        <w:tab/>
        <w:tab/>
        <w:t>)</w:t>
      </w:r>
    </w:p>
    <w:p>
      <w:pPr>
        <w:pStyle w:val="Normal"/>
        <w:tabs>
          <w:tab w:val="clear" w:pos="720"/>
          <w:tab w:val="center" w:pos="-180" w:leader="none"/>
        </w:tabs>
        <w:rPr/>
      </w:pPr>
      <w:r>
        <w:rPr/>
        <w:tab/>
        <w:tab/>
        <w:tab/>
        <w:tab/>
        <w:tab/>
        <w:tab/>
        <w:t>)</w:t>
      </w:r>
    </w:p>
    <w:p>
      <w:pPr>
        <w:pStyle w:val="Normal"/>
        <w:tabs>
          <w:tab w:val="clear" w:pos="720"/>
          <w:tab w:val="center" w:pos="-180" w:leader="none"/>
        </w:tabs>
        <w:rPr/>
      </w:pPr>
      <w:r>
        <w:rPr/>
        <w:tab/>
        <w:t>v.</w:t>
        <w:tab/>
        <w:tab/>
        <w:tab/>
        <w:tab/>
        <w:tab/>
        <w:t>)</w:t>
        <w:tab/>
        <w:t>Docket No. EL00-95-045</w:t>
      </w:r>
    </w:p>
    <w:p>
      <w:pPr>
        <w:pStyle w:val="Normal"/>
        <w:tabs>
          <w:tab w:val="clear" w:pos="720"/>
          <w:tab w:val="center" w:pos="-180" w:leader="none"/>
        </w:tabs>
        <w:rPr/>
      </w:pPr>
      <w:r>
        <w:rPr/>
        <w:tab/>
        <w:tab/>
        <w:tab/>
        <w:tab/>
        <w:tab/>
        <w:tab/>
        <w:t>)</w:t>
      </w:r>
    </w:p>
    <w:p>
      <w:pPr>
        <w:pStyle w:val="Normal"/>
        <w:tabs>
          <w:tab w:val="clear" w:pos="720"/>
          <w:tab w:val="center" w:pos="-180" w:leader="none"/>
        </w:tabs>
        <w:rPr/>
      </w:pPr>
      <w:r>
        <w:rPr/>
        <w:t>Sellers of Energy and Ancillary Service</w:t>
        <w:tab/>
        <w:t>)</w:t>
      </w:r>
    </w:p>
    <w:p>
      <w:pPr>
        <w:pStyle w:val="Normal"/>
        <w:tabs>
          <w:tab w:val="clear" w:pos="720"/>
          <w:tab w:val="center" w:pos="-180" w:leader="none"/>
        </w:tabs>
        <w:rPr/>
      </w:pPr>
      <w:r>
        <w:rPr/>
        <w:t>Into Markets Operated by the California</w:t>
        <w:tab/>
        <w:t>)</w:t>
      </w:r>
    </w:p>
    <w:p>
      <w:pPr>
        <w:pStyle w:val="Normal"/>
        <w:tabs>
          <w:tab w:val="clear" w:pos="720"/>
          <w:tab w:val="center" w:pos="-180" w:leader="none"/>
        </w:tabs>
        <w:rPr/>
      </w:pPr>
      <w:r>
        <w:rPr/>
        <w:t>Independent System Operator Corporation</w:t>
        <w:tab/>
        <w:t>)</w:t>
      </w:r>
    </w:p>
    <w:p>
      <w:pPr>
        <w:pStyle w:val="Normal"/>
        <w:tabs>
          <w:tab w:val="clear" w:pos="720"/>
          <w:tab w:val="center" w:pos="-180" w:leader="none"/>
        </w:tabs>
        <w:rPr/>
      </w:pPr>
      <w:r>
        <w:rPr/>
        <w:t>and the California Power Exchange,</w:t>
        <w:tab/>
        <w:tab/>
        <w:t>)</w:t>
      </w:r>
    </w:p>
    <w:p>
      <w:pPr>
        <w:pStyle w:val="Normal"/>
        <w:tabs>
          <w:tab w:val="clear" w:pos="720"/>
          <w:tab w:val="center" w:pos="-180" w:leader="none"/>
        </w:tabs>
        <w:rPr/>
      </w:pPr>
      <w:r>
        <w:rPr/>
        <w:tab/>
        <w:tab/>
        <w:t>Respondents.</w:t>
        <w:tab/>
        <w:tab/>
        <w:tab/>
        <w:t>)</w:t>
      </w:r>
    </w:p>
    <w:p>
      <w:pPr>
        <w:pStyle w:val="Normal"/>
        <w:tabs>
          <w:tab w:val="clear" w:pos="720"/>
          <w:tab w:val="center" w:pos="-180" w:leader="none"/>
        </w:tabs>
        <w:rPr/>
      </w:pPr>
      <w:r>
        <w:rPr/>
        <w:tab/>
        <w:tab/>
        <w:tab/>
        <w:tab/>
        <w:tab/>
        <w:tab/>
      </w:r>
    </w:p>
    <w:p>
      <w:pPr>
        <w:pStyle w:val="Normal"/>
        <w:tabs>
          <w:tab w:val="clear" w:pos="720"/>
          <w:tab w:val="center" w:pos="-180" w:leader="none"/>
        </w:tabs>
        <w:rPr/>
      </w:pPr>
      <w:r>
        <w:rPr/>
        <w:t>Investigation of Practices of the</w:t>
        <w:tab/>
        <w:tab/>
        <w:t>)</w:t>
      </w:r>
    </w:p>
    <w:p>
      <w:pPr>
        <w:pStyle w:val="Normal"/>
        <w:tabs>
          <w:tab w:val="clear" w:pos="720"/>
          <w:tab w:val="center" w:pos="-180" w:leader="none"/>
        </w:tabs>
        <w:rPr/>
      </w:pPr>
      <w:r>
        <w:rPr/>
        <w:t>California Independent System Operator</w:t>
        <w:tab/>
        <w:t>)</w:t>
        <w:tab/>
        <w:t>Docket No. EL00-98-042</w:t>
      </w:r>
    </w:p>
    <w:p>
      <w:pPr>
        <w:pStyle w:val="Normal"/>
        <w:tabs>
          <w:tab w:val="clear" w:pos="720"/>
          <w:tab w:val="center" w:pos="-180" w:leader="none"/>
        </w:tabs>
        <w:rPr/>
      </w:pPr>
      <w:r>
        <w:rPr/>
        <w:t>and the California Power Exchange</w:t>
        <w:tab/>
        <w:tab/>
        <w:t>)</w:t>
      </w:r>
    </w:p>
    <w:p>
      <w:pPr>
        <w:pStyle w:val="Normal"/>
        <w:tabs>
          <w:tab w:val="clear" w:pos="720"/>
          <w:tab w:val="center" w:pos="-180" w:leader="none"/>
        </w:tabs>
        <w:rPr/>
      </w:pPr>
      <w:r>
        <w:rPr/>
        <w:br/>
      </w:r>
    </w:p>
    <w:p>
      <w:pPr>
        <w:pStyle w:val="Normal"/>
        <w:tabs>
          <w:tab w:val="clear" w:pos="720"/>
          <w:tab w:val="center" w:pos="-180" w:leader="none"/>
        </w:tabs>
        <w:jc w:val="center"/>
        <w:rPr>
          <w:b/>
        </w:rPr>
      </w:pPr>
      <w:r>
        <w:rPr>
          <w:b/>
        </w:rPr>
        <w:t>SUMMARY OF</w:t>
      </w:r>
    </w:p>
    <w:p>
      <w:pPr>
        <w:pStyle w:val="Normal"/>
        <w:tabs>
          <w:tab w:val="clear" w:pos="720"/>
          <w:tab w:val="center" w:pos="-180" w:leader="none"/>
        </w:tabs>
        <w:jc w:val="center"/>
        <w:rPr>
          <w:b/>
        </w:rPr>
      </w:pPr>
      <w:r>
        <w:rPr>
          <w:b/>
        </w:rPr>
        <w:t>RESPONSIVE TESTIMONY ON ISSUE 1 OF BLAIR JACKSON</w:t>
      </w:r>
    </w:p>
    <w:p>
      <w:pPr>
        <w:pStyle w:val="Normal"/>
        <w:tabs>
          <w:tab w:val="clear" w:pos="720"/>
          <w:tab w:val="center" w:pos="-180" w:leader="none"/>
        </w:tabs>
        <w:jc w:val="center"/>
        <w:rPr>
          <w:b/>
        </w:rPr>
      </w:pPr>
      <w:r>
        <w:rPr>
          <w:b/>
        </w:rPr>
        <w:t>ON BEHALF OF THE</w:t>
      </w:r>
    </w:p>
    <w:p>
      <w:pPr>
        <w:pStyle w:val="Normal"/>
        <w:jc w:val="center"/>
        <w:rPr>
          <w:b/>
        </w:rPr>
      </w:pPr>
      <w:r>
        <w:rPr>
          <w:b/>
        </w:rPr>
        <w:t>MODESTO IRRIGATION DISTRICT</w:t>
      </w:r>
    </w:p>
    <w:p>
      <w:pPr>
        <w:pStyle w:val="Normal"/>
        <w:jc w:val="center"/>
        <w:rPr>
          <w:b/>
        </w:rPr>
      </w:pPr>
      <w:r>
        <w:rPr>
          <w:b/>
        </w:rPr>
      </w:r>
    </w:p>
    <w:p>
      <w:pPr>
        <w:pStyle w:val="Normal"/>
        <w:jc w:val="center"/>
        <w:rPr>
          <w:b/>
          <w:bCs/>
        </w:rPr>
      </w:pPr>
      <w:r>
        <w:rPr>
          <w:b/>
          <w:bCs/>
        </w:rPr>
      </w:r>
    </w:p>
    <w:p>
      <w:pPr>
        <w:pStyle w:val="Normal"/>
        <w:spacing w:lineRule="auto" w:line="480"/>
        <w:ind w:firstLine="1440" w:end="0"/>
        <w:rPr/>
      </w:pPr>
      <w:r>
        <w:rPr>
          <w:bCs/>
        </w:rPr>
        <w:t xml:space="preserve">Blair Jackson, testifying on behalf of the Modesto Irrigation District (“MID”), submits his Responsive Testimony on Issue 1 in the above-captioned proceeding.  Mr. Jackson responds to and discusses </w:t>
      </w:r>
      <w:r>
        <w:rPr/>
        <w:t xml:space="preserve">certain factors and data that influenced the California Independent System Operator Corporation’s (“CAISO”) calculation of the Mitigated Market Clearing Price.  </w:t>
      </w:r>
      <w:r>
        <w:rPr>
          <w:i/>
          <w:iCs/>
        </w:rPr>
        <w:t>See</w:t>
      </w:r>
      <w:r>
        <w:rPr/>
        <w:t xml:space="preserve"> Exh. No. MID-1 at 2:17-20.</w:t>
      </w:r>
    </w:p>
    <w:p>
      <w:pPr>
        <w:pStyle w:val="Normal"/>
        <w:spacing w:lineRule="auto" w:line="480"/>
        <w:ind w:firstLine="1440" w:end="0"/>
        <w:rPr/>
      </w:pPr>
      <w:r>
        <w:rPr/>
        <w:t xml:space="preserve">First, Mr. Jackson explains that the data that the CAISO has submitted in this proceeding to compute the Mitigated Market Clearing Price is incomprehensible, and subject to various, conflicting interpretations.  Accordingly, the data submitted by the CAISO is not helpful in determining the Mitigated Market Clearing Price.  </w:t>
      </w:r>
      <w:r>
        <w:rPr>
          <w:i/>
          <w:iCs/>
        </w:rPr>
        <w:t>See id.</w:t>
      </w:r>
      <w:r>
        <w:rPr/>
        <w:t xml:space="preserve"> at 3:4-8.</w:t>
      </w:r>
    </w:p>
    <w:p>
      <w:pPr>
        <w:pStyle w:val="Normal"/>
        <w:spacing w:lineRule="auto" w:line="480"/>
        <w:ind w:firstLine="1440" w:end="0"/>
        <w:rPr/>
      </w:pPr>
      <w:r>
        <w:rPr/>
        <w:t>Second, Mr. Jackson describes how the CAISO is in error for using incremental heat rates for each unit bid into the CAISO’s Real-Time Market to determine the Mitigated Market Clearing Price.  Mr. Jackson explains that in only permitting marginal units dispatched in the real-time markets to set the Mitigated Market Clearing Price, the CAISO mistakenly assumes that units dispatched in the real-time imbalance market will always be the marginal unit (</w:t>
      </w:r>
      <w:r>
        <w:rPr>
          <w:i/>
          <w:iCs/>
        </w:rPr>
        <w:t>i.e.</w:t>
      </w:r>
      <w:r>
        <w:rPr/>
        <w:t xml:space="preserve"> most expensive) for any given hour.  </w:t>
      </w:r>
      <w:r>
        <w:rPr>
          <w:i/>
          <w:iCs/>
        </w:rPr>
        <w:t>See id.</w:t>
      </w:r>
      <w:r>
        <w:rPr/>
        <w:t xml:space="preserve"> at 3:15-19.  This assumption is simply not true.  Average heat rate curves are used to calculate the cost of all energy produced by a unit at any given output.  Incremental heat rate curves are used to calculate the cost of increasing or decreasing the output of a unit by a given amount.  </w:t>
      </w:r>
      <w:r>
        <w:rPr>
          <w:i/>
          <w:iCs/>
        </w:rPr>
        <w:t>See id.</w:t>
      </w:r>
      <w:r>
        <w:rPr/>
        <w:t xml:space="preserve"> at 3:20 to 4:23.  In many cases, the incremental heat rate for a unit is significantly lower than the average heat rate over the full operating range of that unit.  Accordingly, the correct method is to use average heat rate curves.  </w:t>
      </w:r>
      <w:r>
        <w:rPr>
          <w:i/>
          <w:iCs/>
        </w:rPr>
        <w:t>See id.</w:t>
      </w:r>
      <w:r>
        <w:rPr/>
        <w:t xml:space="preserve"> at 4:2-18.</w:t>
      </w:r>
    </w:p>
    <w:p>
      <w:pPr>
        <w:pStyle w:val="Normal"/>
        <w:spacing w:lineRule="auto" w:line="480"/>
        <w:rPr/>
      </w:pPr>
      <w:r>
        <w:rPr/>
      </w:r>
    </w:p>
    <w:sectPr>
      <w:headerReference w:type="default" r:id="rId2"/>
      <w:headerReference w:type="first" r:id="rId3"/>
      <w:type w:val="nextPage"/>
      <w:pgSz w:w="12240" w:h="15840"/>
      <w:pgMar w:left="216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ind w:hanging="720" w:start="720" w:end="0"/>
      <w:jc w:val="both"/>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spacing w:before="0" w:after="120"/>
                            <w:ind w:hanging="720" w:start="720" w:end="0"/>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spacing w:before="0" w:after="120"/>
                      <w:ind w:hanging="720" w:start="720" w:end="0"/>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ind w:hanging="720" w:start="720" w:end="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A.%1."/>
      <w:lvlJc w:val="start"/>
      <w:pPr>
        <w:tabs>
          <w:tab w:val="num" w:pos="420"/>
        </w:tabs>
        <w:ind w:start="42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120"/>
      <w:ind w:hanging="720" w:start="720" w:end="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
    <w:name w:val="Q"/>
    <w:basedOn w:val="Normal"/>
    <w:qFormat/>
    <w:pPr>
      <w:numPr>
        <w:ilvl w:val="0"/>
        <w:numId w:val="1"/>
      </w:numPr>
      <w:tabs>
        <w:tab w:val="left" w:pos="720" w:leader="none"/>
      </w:tabs>
      <w:spacing w:before="0" w:after="120"/>
      <w:ind w:hanging="720" w:start="720" w:end="0"/>
      <w:jc w:val="both"/>
    </w:pPr>
    <w:rPr/>
  </w:style>
  <w:style w:type="paragraph" w:styleId="A">
    <w:name w:val="A"/>
    <w:basedOn w:val="Normal"/>
    <w:qFormat/>
    <w:pPr>
      <w:tabs>
        <w:tab w:val="left" w:pos="720" w:leader="none"/>
      </w:tabs>
      <w:spacing w:before="0" w:after="12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120"/>
      <w:ind w:hanging="720" w:start="720" w:end="0"/>
      <w:jc w:val="both"/>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2001-11-05T21:06:00Z</dcterms:created>
  <dc:creator>13W5J01</dc:creator>
  <dc:description/>
  <dc:language>en-CA</dc:language>
  <cp:lastModifiedBy>13W5J01</cp:lastModifiedBy>
  <cp:lastPrinted>2001-11-06T13:46:00Z</cp:lastPrinted>
  <dcterms:modified xsi:type="dcterms:W3CDTF">2001-11-06T16:18:00Z</dcterms:modified>
  <cp:revision>24</cp:revision>
  <dc:subject/>
  <dc:title>UNITED STATES OF AMERICA</dc:title>
</cp:coreProperties>
</file>