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000080"/>
          <w:sz w:val="32"/>
        </w:rPr>
      </w:pPr>
      <w:r>
        <w:rPr>
          <w:color w:val="000080"/>
          <w:sz w:val="32"/>
        </w:rPr>
        <w:t>2000 Year-End PRC Reviews</w:t>
      </w:r>
    </w:p>
    <w:p>
      <w:pPr>
        <w:pStyle w:val="Normal"/>
        <w:jc w:val="center"/>
        <w:rPr>
          <w:rFonts w:ascii="Antique Olive" w:hAnsi="Antique Olive" w:cs="Antique Olive"/>
          <w:b/>
          <w:i/>
          <w:i/>
          <w:color w:val="000080"/>
        </w:rPr>
      </w:pPr>
      <w:r>
        <w:rPr>
          <w:rFonts w:cs="Antique Olive" w:ascii="Antique Olive" w:hAnsi="Antique Olive"/>
          <w:b/>
          <w:i/>
          <w:color w:val="000080"/>
        </w:rPr>
        <w:t>(Guidelines for presenting)</w:t>
      </w:r>
    </w:p>
    <w:p>
      <w:pPr>
        <w:pStyle w:val="Normal"/>
        <w:jc w:val="center"/>
        <w:rPr>
          <w:rFonts w:ascii="Antique Olive" w:hAnsi="Antique Olive" w:cs="Antique Olive"/>
          <w:b/>
          <w:i/>
          <w:i/>
          <w:color w:val="000080"/>
        </w:rPr>
      </w:pPr>
      <w:r>
        <w:rPr>
          <w:rFonts w:cs="Antique Olive" w:ascii="Antique Olive" w:hAnsi="Antique Olive"/>
          <w:b/>
          <w:i/>
          <w:color w:val="000080"/>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rPr>
                <w:b/>
                <w:color w:val="0000FF"/>
                <w:sz w:val="24"/>
                <w:u w:val="single"/>
              </w:rPr>
            </w:pPr>
            <w:r>
              <w:rPr>
                <w:b/>
                <w:color w:val="0000FF"/>
                <w:sz w:val="24"/>
                <w:u w:val="single"/>
              </w:rPr>
              <w:t>Name: Jose M. Bestard</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b/>
                <w:color w:val="0000FF"/>
                <w:sz w:val="24"/>
                <w:u w:val="single"/>
              </w:rPr>
            </w:pPr>
            <w:r>
              <w:rPr>
                <w:b/>
                <w:color w:val="0000FF"/>
                <w:sz w:val="24"/>
                <w:u w:val="single"/>
              </w:rPr>
              <w:t>Title: VP of Government and Regulatory Affairs -ESA</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b/>
                <w:color w:val="0000FF"/>
                <w:sz w:val="24"/>
                <w:u w:val="single"/>
              </w:rPr>
            </w:pPr>
            <w:r>
              <w:rPr>
                <w:b/>
                <w:color w:val="0000FF"/>
                <w:sz w:val="24"/>
                <w:u w:val="single"/>
              </w:rPr>
              <w:t>Department: Enron South America</w:t>
            </w:r>
          </w:p>
        </w:tc>
      </w:tr>
      <w:tr>
        <w:trPr/>
        <w:tc>
          <w:tcPr>
            <w:tcW w:w="8856" w:type="dxa"/>
            <w:tcBorders>
              <w:top w:val="single" w:sz="4" w:space="0" w:color="000000"/>
              <w:start w:val="single" w:sz="4" w:space="0" w:color="000000"/>
              <w:bottom w:val="single" w:sz="4" w:space="0" w:color="000000"/>
              <w:end w:val="single" w:sz="4" w:space="0" w:color="000000"/>
            </w:tcBorders>
          </w:tcPr>
          <w:p>
            <w:pPr>
              <w:pStyle w:val="Normal"/>
              <w:rPr>
                <w:b/>
                <w:color w:val="0000FF"/>
                <w:sz w:val="24"/>
                <w:u w:val="single"/>
              </w:rPr>
            </w:pPr>
            <w:r>
              <w:rPr>
                <w:b/>
                <w:color w:val="0000FF"/>
                <w:sz w:val="24"/>
                <w:u w:val="single"/>
              </w:rPr>
              <w:t>Supervisor: Jim Bannantine</w:t>
            </w:r>
          </w:p>
        </w:tc>
      </w:tr>
    </w:tbl>
    <w:p>
      <w:pPr>
        <w:pStyle w:val="Normal"/>
        <w:rPr>
          <w:b/>
          <w:sz w:val="24"/>
          <w:u w:val="single"/>
        </w:rPr>
      </w:pPr>
      <w:r>
        <w:rPr>
          <w:b/>
          <w:sz w:val="24"/>
          <w:u w:val="single"/>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op w:val="single" w:sz="4" w:space="0" w:color="000000"/>
              <w:start w:val="single" w:sz="4" w:space="0" w:color="000000"/>
              <w:bottom w:val="single" w:sz="4" w:space="0" w:color="000000"/>
              <w:end w:val="single" w:sz="4" w:space="0" w:color="000000"/>
            </w:tcBorders>
          </w:tcPr>
          <w:p>
            <w:pPr>
              <w:pStyle w:val="Normal"/>
              <w:rPr>
                <w:b/>
                <w:color w:val="FF0000"/>
                <w:sz w:val="28"/>
              </w:rPr>
            </w:pPr>
            <w:r>
              <w:rPr>
                <w:b/>
                <w:color w:val="FF0000"/>
                <w:sz w:val="28"/>
              </w:rPr>
              <w:t xml:space="preserve">Overall Rating:  </w:t>
            </w:r>
          </w:p>
        </w:tc>
      </w:tr>
    </w:tbl>
    <w:p>
      <w:pPr>
        <w:pStyle w:val="Normal"/>
        <w:rPr>
          <w:rFonts w:ascii="Antique Olive" w:hAnsi="Antique Olive" w:cs="Antique Olive"/>
          <w:b/>
          <w:color w:val="000080"/>
        </w:rPr>
      </w:pPr>
      <w:r>
        <w:rPr>
          <w:rFonts w:cs="Antique Olive" w:ascii="Antique Olive" w:hAnsi="Antique Olive"/>
          <w:b/>
          <w:color w:val="000080"/>
        </w:rPr>
      </w:r>
    </w:p>
    <w:p>
      <w:pPr>
        <w:pStyle w:val="Normal"/>
        <w:jc w:val="center"/>
        <w:rPr>
          <w:rFonts w:ascii="Antique Olive" w:hAnsi="Antique Olive" w:cs="Antique Olive"/>
          <w:b/>
          <w:i/>
          <w:i/>
          <w:color w:val="000080"/>
        </w:rPr>
      </w:pPr>
      <w:r>
        <w:rPr>
          <w:rFonts w:cs="Antique Olive" w:ascii="Antique Olive" w:hAnsi="Antique Olive"/>
          <w:b/>
          <w:i/>
          <w:color w:val="000080"/>
        </w:rPr>
      </w:r>
    </w:p>
    <w:p>
      <w:pPr>
        <w:pStyle w:val="Heading1"/>
        <w:ind w:hanging="0" w:start="0"/>
        <w:rPr>
          <w:color w:val="000080"/>
        </w:rPr>
      </w:pPr>
      <w:r>
        <w:rPr>
          <w:color w:val="000080"/>
        </w:rPr>
        <w:t>Accomplishments/Strengths</w:t>
      </w:r>
    </w:p>
    <w:p>
      <w:pPr>
        <w:pStyle w:val="Normal"/>
        <w:jc w:val="both"/>
        <w:rPr/>
      </w:pPr>
      <w:r>
        <w:rPr>
          <w:b/>
        </w:rPr>
        <w:t>Strengths:</w:t>
      </w:r>
      <w:r>
        <w:rPr/>
        <w:t xml:space="preserve">  Experience. All around utility executive (FPL experience-various aspects); Industry consultant prior to joining Enron as a developer; Strategic vision. Good coach of subordinates. Skillful in institutional contacts</w:t>
      </w:r>
    </w:p>
    <w:p>
      <w:pPr>
        <w:pStyle w:val="Normal"/>
        <w:jc w:val="both"/>
        <w:rPr/>
      </w:pPr>
      <w:r>
        <w:rPr/>
      </w:r>
    </w:p>
    <w:p>
      <w:pPr>
        <w:pStyle w:val="Normal"/>
        <w:jc w:val="both"/>
        <w:rPr/>
      </w:pPr>
      <w:r>
        <w:rPr>
          <w:u w:val="single"/>
        </w:rPr>
        <w:t>“</w:t>
      </w:r>
      <w:r>
        <w:rPr>
          <w:u w:val="single"/>
        </w:rPr>
        <w:t>Enron Flag Theme”. “Reconcile Conflicting Objectives “</w:t>
      </w:r>
      <w:r>
        <w:rPr/>
        <w:t xml:space="preserve"> Conflicting business units objectives were reconciled and a strategy launched to consistently articulate our institutional communications in South America. </w:t>
      </w:r>
      <w:r>
        <w:rPr>
          <w:i/>
        </w:rPr>
        <w:t>“Pro competition and open access</w:t>
      </w:r>
      <w:r>
        <w:rPr/>
        <w:t>”. These messages have been replicated and expanded on multiple governmental forums, seminars and associations in the area.</w:t>
      </w:r>
    </w:p>
    <w:p>
      <w:pPr>
        <w:pStyle w:val="Normal"/>
        <w:jc w:val="both"/>
        <w:rPr/>
      </w:pPr>
      <w:r>
        <w:rPr/>
      </w:r>
    </w:p>
    <w:p>
      <w:pPr>
        <w:pStyle w:val="Normal"/>
        <w:numPr>
          <w:ilvl w:val="0"/>
          <w:numId w:val="3"/>
        </w:numPr>
        <w:rPr>
          <w:i/>
          <w:i/>
          <w:color w:val="000000"/>
          <w:lang w:eastAsia="en-US"/>
        </w:rPr>
      </w:pPr>
      <w:r>
        <w:rPr>
          <w:i/>
          <w:color w:val="000000"/>
          <w:lang w:eastAsia="en-US"/>
        </w:rPr>
        <w:t>Customer Choice. Open markets. Market Driven.  Open Access to options. Individualized offers vs. one solution for all.</w:t>
      </w:r>
    </w:p>
    <w:p>
      <w:pPr>
        <w:pStyle w:val="Normal"/>
        <w:numPr>
          <w:ilvl w:val="0"/>
          <w:numId w:val="3"/>
        </w:numPr>
        <w:rPr>
          <w:i/>
          <w:i/>
          <w:color w:val="000000"/>
          <w:lang w:eastAsia="en-US"/>
        </w:rPr>
      </w:pPr>
      <w:r>
        <w:rPr>
          <w:i/>
          <w:color w:val="000000"/>
          <w:lang w:eastAsia="en-US"/>
        </w:rPr>
        <w:t>Promote Efficient Markets development.-  "Many buyers. Many Sellers. Physical (infrastructure) and Information (exchange) networks. Regional Integration</w:t>
      </w:r>
    </w:p>
    <w:p>
      <w:pPr>
        <w:pStyle w:val="Normal"/>
        <w:numPr>
          <w:ilvl w:val="0"/>
          <w:numId w:val="3"/>
        </w:numPr>
        <w:rPr>
          <w:i/>
          <w:i/>
          <w:color w:val="000000"/>
          <w:lang w:eastAsia="en-US"/>
        </w:rPr>
      </w:pPr>
      <w:r>
        <w:rPr>
          <w:i/>
          <w:color w:val="000000"/>
          <w:lang w:eastAsia="en-US"/>
        </w:rPr>
        <w:t>Honor contracts. Transition solutions due to regulatory change. Stranded costs negotiations. Regulatory Reforms.</w:t>
      </w:r>
    </w:p>
    <w:p>
      <w:pPr>
        <w:pStyle w:val="Normal"/>
        <w:jc w:val="both"/>
        <w:rPr>
          <w:i/>
          <w:i/>
          <w:color w:val="000000"/>
          <w:lang w:eastAsia="en-US"/>
        </w:rPr>
      </w:pPr>
      <w:r>
        <w:rPr>
          <w:i/>
          <w:color w:val="000000"/>
          <w:lang w:eastAsia="en-US"/>
        </w:rPr>
      </w:r>
    </w:p>
    <w:p>
      <w:pPr>
        <w:pStyle w:val="Normal"/>
        <w:jc w:val="both"/>
        <w:rPr/>
      </w:pPr>
      <w:r>
        <w:rPr>
          <w:u w:val="single"/>
        </w:rPr>
        <w:t>“</w:t>
      </w:r>
      <w:r>
        <w:rPr>
          <w:u w:val="single"/>
        </w:rPr>
        <w:t xml:space="preserve">Organization”. </w:t>
      </w:r>
      <w:r>
        <w:rPr/>
        <w:t xml:space="preserve"> The existing organization modified from a hierarchical structure into an  “area of effectiveness” “mission oriented” alignment concept, where the staff self-directs to accomplish the policy vision, and advance the objectives of the “clients” – the business units they support, guided by the business plan In addition to their assignments,  two senior people assure policy coordination, one for gas and another for electricity Coordination and control is kept through the weekly reports.</w:t>
      </w:r>
    </w:p>
    <w:p>
      <w:pPr>
        <w:pStyle w:val="Normal"/>
        <w:jc w:val="both"/>
        <w:rPr/>
      </w:pPr>
      <w:r>
        <w:rPr/>
      </w:r>
    </w:p>
    <w:p>
      <w:pPr>
        <w:pStyle w:val="Normal"/>
        <w:numPr>
          <w:ilvl w:val="0"/>
          <w:numId w:val="2"/>
        </w:numPr>
        <w:jc w:val="both"/>
        <w:rPr/>
      </w:pPr>
      <w:r>
        <w:rPr/>
        <w:t>It is 100 % local- back-up with backroom support from specialist in Houston. The last expat went back June 00.</w:t>
      </w:r>
    </w:p>
    <w:p>
      <w:pPr>
        <w:pStyle w:val="Normal"/>
        <w:numPr>
          <w:ilvl w:val="0"/>
          <w:numId w:val="2"/>
        </w:numPr>
        <w:jc w:val="both"/>
        <w:rPr/>
      </w:pPr>
      <w:r>
        <w:rPr/>
        <w:t>Active channels of communications have been established with regulatory working groups in Houston. (Assad, Lima, Alvarez, Canovas, Smith).</w:t>
      </w:r>
    </w:p>
    <w:p>
      <w:pPr>
        <w:pStyle w:val="Normal"/>
        <w:numPr>
          <w:ilvl w:val="0"/>
          <w:numId w:val="2"/>
        </w:numPr>
        <w:jc w:val="both"/>
        <w:rPr/>
      </w:pPr>
      <w:r>
        <w:rPr/>
        <w:t>Leadership on key industry organizations Utilizing the organizations to take to the government common potions that were developed in strategy sessions. APINE, ABEGAS, ABRADEE, ABRACEL, “Investor Group”. Institute of the Americas.</w:t>
      </w:r>
    </w:p>
    <w:p>
      <w:pPr>
        <w:pStyle w:val="Normal"/>
        <w:numPr>
          <w:ilvl w:val="0"/>
          <w:numId w:val="2"/>
        </w:numPr>
        <w:jc w:val="both"/>
        <w:rPr/>
      </w:pPr>
      <w:r>
        <w:rPr/>
        <w:t>Close working relationship with the PR group to disseminate the messages through conferences, seminars, news articles.</w:t>
      </w:r>
    </w:p>
    <w:p>
      <w:pPr>
        <w:pStyle w:val="Normal"/>
        <w:numPr>
          <w:ilvl w:val="0"/>
          <w:numId w:val="2"/>
        </w:numPr>
        <w:jc w:val="both"/>
        <w:rPr/>
      </w:pPr>
      <w:r>
        <w:rPr/>
        <w:t>Regulatory training modules to bring the business organization up to speed</w:t>
      </w:r>
    </w:p>
    <w:p>
      <w:pPr>
        <w:pStyle w:val="Normal"/>
        <w:numPr>
          <w:ilvl w:val="0"/>
          <w:numId w:val="2"/>
        </w:numPr>
        <w:jc w:val="both"/>
        <w:rPr/>
      </w:pPr>
      <w:r>
        <w:rPr/>
      </w:r>
    </w:p>
    <w:p>
      <w:pPr>
        <w:pStyle w:val="Normal"/>
        <w:jc w:val="both"/>
        <w:rPr>
          <w:b/>
        </w:rPr>
      </w:pPr>
      <w:r>
        <w:rPr>
          <w:b/>
        </w:rPr>
        <w:t>Business Unit Support – Mission Leaders.-</w:t>
      </w:r>
    </w:p>
    <w:p>
      <w:pPr>
        <w:pStyle w:val="Normal"/>
        <w:jc w:val="both"/>
        <w:rPr>
          <w:b/>
        </w:rPr>
      </w:pPr>
      <w:r>
        <w:rPr>
          <w:b/>
        </w:rPr>
      </w:r>
    </w:p>
    <w:p>
      <w:pPr>
        <w:pStyle w:val="Normal"/>
        <w:jc w:val="both"/>
        <w:rPr/>
      </w:pPr>
      <w:r>
        <w:rPr>
          <w:b/>
        </w:rPr>
        <w:t>Bestard</w:t>
      </w:r>
      <w:r>
        <w:rPr/>
        <w:t xml:space="preserve">.-  Orchestrating the theme in all the fronts and providing consistency and support to the various mission leaders and industry organizations to define the rules and achieve indexation pass-through in Brazil. Message has been delivered in numerous conferences, now copied and transmitted by others. Papers becoming increasingly critical, forcing the Brazilian government to acknowledge the issue. All organizations have sent letters. Government is considering alternative methods. Argentina and Bolivian Ministries in vocal support for open borders. Brazil is supporting Petrobras (de-facto monopoly), excuse “temporary emergency until markets are balanced. Board of APINE.. </w:t>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Regulatory and Governmental approvals for the sale of assets</w:t>
      </w:r>
    </w:p>
    <w:p>
      <w:pPr>
        <w:pStyle w:val="Normal"/>
        <w:rPr>
          <w:rFonts w:ascii="Times New Roman" w:hAnsi="Times New Roman" w:cs="Times New Roman"/>
          <w:sz w:val="20"/>
          <w:u w:val="none"/>
        </w:rPr>
      </w:pPr>
      <w:r>
        <w:rPr>
          <w:rFonts w:cs="Times New Roman"/>
          <w:sz w:val="20"/>
          <w:u w:val="none"/>
        </w:rPr>
      </w:r>
    </w:p>
    <w:p>
      <w:pPr>
        <w:pStyle w:val="Normal"/>
        <w:jc w:val="both"/>
        <w:rPr/>
      </w:pPr>
      <w:r>
        <w:rPr>
          <w:b/>
        </w:rPr>
        <w:t>Assad</w:t>
      </w:r>
      <w:r>
        <w:rPr/>
        <w:t xml:space="preserve"> – Recovery of US$ margin Elektro  (EBIDAT) - </w:t>
      </w:r>
      <w:r>
        <w:rPr>
          <w:b/>
        </w:rPr>
        <w:t>$40m EBIDAT/year</w:t>
      </w:r>
      <w:r>
        <w:rPr/>
        <w:t xml:space="preserve">  .Issue taken to President level, who asked the MME to form a task force to ensure the expansion of the system.. Investors Group working contacts</w:t>
      </w:r>
    </w:p>
    <w:p>
      <w:pPr>
        <w:pStyle w:val="Normal"/>
        <w:jc w:val="both"/>
        <w:rPr/>
      </w:pPr>
      <w:r>
        <w:rPr/>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Regulatory hearings rescheduled (from Nov00 to March 01)</w:t>
      </w:r>
    </w:p>
    <w:p>
      <w:pPr>
        <w:pStyle w:val="Normal"/>
        <w:jc w:val="both"/>
        <w:rPr>
          <w:rFonts w:ascii="Times New Roman" w:hAnsi="Times New Roman" w:cs="Times New Roman"/>
          <w:sz w:val="20"/>
          <w:u w:val="none"/>
        </w:rPr>
      </w:pPr>
      <w:r>
        <w:rPr>
          <w:rFonts w:cs="Times New Roman"/>
          <w:sz w:val="20"/>
          <w:u w:val="none"/>
        </w:rPr>
      </w:r>
    </w:p>
    <w:p>
      <w:pPr>
        <w:pStyle w:val="Normal"/>
        <w:jc w:val="both"/>
        <w:rPr/>
      </w:pPr>
      <w:r>
        <w:rPr>
          <w:b/>
        </w:rPr>
        <w:t>Maurer</w:t>
      </w:r>
      <w:r>
        <w:rPr/>
        <w:t xml:space="preserve">.- Technical argumentation and support for the “Definite Market Rules”. Coordination with Elektro’s evaluation.  Key advocacy role.  </w:t>
      </w:r>
      <w:r>
        <w:rPr>
          <w:u w:val="single"/>
        </w:rPr>
        <w:t>Introduced  and circulated “Regulatory Papers</w:t>
      </w:r>
      <w:r>
        <w:rPr/>
        <w:t>” Well received by the industry. President elect for ABRACEL</w:t>
      </w:r>
    </w:p>
    <w:p>
      <w:pPr>
        <w:pStyle w:val="Normal"/>
        <w:jc w:val="both"/>
        <w:rPr/>
      </w:pPr>
      <w:r>
        <w:rPr/>
      </w:r>
    </w:p>
    <w:p>
      <w:pPr>
        <w:pStyle w:val="Normal"/>
        <w:jc w:val="both"/>
        <w:rPr/>
      </w:pPr>
      <w:r>
        <w:rPr>
          <w:b/>
        </w:rPr>
        <w:t>Paixao.-</w:t>
      </w:r>
      <w:r>
        <w:rPr/>
        <w:t xml:space="preserve"> The political “MAE Board level” support to get institutional clearance to the market rules. Assure coordination between our business units. Market to be  open in three stages.</w:t>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First stage started  Sept 1, 2000. (monthly  pricing).  Second stage by mid-2001 (weekly pricing). Third stage - Jan 2002 (hourly pricing)</w:t>
      </w:r>
    </w:p>
    <w:p>
      <w:pPr>
        <w:pStyle w:val="Normal"/>
        <w:jc w:val="both"/>
        <w:rPr>
          <w:rFonts w:ascii="Times New Roman" w:hAnsi="Times New Roman" w:cs="Times New Roman"/>
          <w:sz w:val="20"/>
          <w:u w:val="none"/>
        </w:rPr>
      </w:pPr>
      <w:r>
        <w:rPr>
          <w:rFonts w:cs="Times New Roman"/>
          <w:sz w:val="20"/>
          <w:u w:val="none"/>
        </w:rPr>
      </w:r>
    </w:p>
    <w:p>
      <w:pPr>
        <w:pStyle w:val="Normal"/>
        <w:jc w:val="both"/>
        <w:rPr/>
      </w:pPr>
      <w:r>
        <w:rPr>
          <w:b/>
        </w:rPr>
        <w:t>Smith/Lima.- Open Access on the Brazilian side</w:t>
      </w:r>
      <w:r>
        <w:rPr/>
        <w:t>. Challenged Petrobras to provide. Arbitration submitted to ANP. First ever. Very important case to set the precedent in Brazil. Smith is the lead in testimony documentation. Lima is the lead with the local ANP interface. Access granted in September. Additional petitions are being filed.</w:t>
      </w:r>
    </w:p>
    <w:p>
      <w:pPr>
        <w:pStyle w:val="Normal"/>
        <w:jc w:val="both"/>
        <w:rPr/>
      </w:pPr>
      <w:r>
        <w:rPr/>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Target  $20-30 m/year by 2003 for both electricity and gas</w:t>
      </w:r>
    </w:p>
    <w:p>
      <w:pPr>
        <w:pStyle w:val="Normal"/>
        <w:jc w:val="both"/>
        <w:rPr>
          <w:rFonts w:ascii="Times New Roman" w:hAnsi="Times New Roman" w:cs="Times New Roman"/>
          <w:b/>
          <w:sz w:val="20"/>
          <w:u w:val="none"/>
        </w:rPr>
      </w:pPr>
      <w:r>
        <w:rPr>
          <w:rFonts w:cs="Times New Roman"/>
          <w:b/>
          <w:sz w:val="20"/>
          <w:u w:val="none"/>
        </w:rPr>
      </w:r>
    </w:p>
    <w:p>
      <w:pPr>
        <w:pStyle w:val="Normal"/>
        <w:jc w:val="both"/>
        <w:rPr/>
      </w:pPr>
      <w:r>
        <w:rPr>
          <w:b/>
        </w:rPr>
        <w:t xml:space="preserve">Canovas.- BA Gas Unit. </w:t>
      </w:r>
      <w:r>
        <w:rPr/>
        <w:t xml:space="preserve">Opening the Argentinean gas distribution market. Unbundling of services. Was successful in Public Hearings to allow this services, opposed by distribution companies.. Further definition as are being drafted by Energas. A study commisioned by Enargas supports our position to separate the merchant and distribution activities. </w:t>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Target – Unbundle - the industrial and commercial customers in two years – 260,000 customers – 49 million cubic meters per day</w:t>
      </w:r>
    </w:p>
    <w:p>
      <w:pPr>
        <w:pStyle w:val="Normal"/>
        <w:jc w:val="both"/>
        <w:rPr>
          <w:rFonts w:ascii="Times New Roman" w:hAnsi="Times New Roman" w:cs="Times New Roman"/>
          <w:sz w:val="20"/>
          <w:u w:val="none"/>
        </w:rPr>
      </w:pPr>
      <w:r>
        <w:rPr>
          <w:rFonts w:cs="Times New Roman"/>
          <w:sz w:val="20"/>
          <w:u w:val="none"/>
        </w:rPr>
      </w:r>
    </w:p>
    <w:p>
      <w:pPr>
        <w:pStyle w:val="Normal"/>
        <w:jc w:val="both"/>
        <w:rPr/>
      </w:pPr>
      <w:r>
        <w:rPr>
          <w:b/>
        </w:rPr>
        <w:t>Alvarez/.Pantoja</w:t>
      </w:r>
      <w:r>
        <w:rPr/>
        <w:t xml:space="preserve">. Transredes Rate Case. Deferred account. </w:t>
      </w:r>
      <w:r>
        <w:rPr>
          <w:b/>
        </w:rPr>
        <w:t>(25% of $140 m)</w:t>
      </w:r>
      <w:r>
        <w:rPr/>
        <w:t xml:space="preserve"> By-pass. Alvarez at the institutional level. Pantoja to lobby the Government in Bolivia. Key is the deferred account, to ensure that any by-pass line would pay the fair share. Petrobras attempted to get a Government-to-government deal. A strong protest was sent to Bolivia. The Bolivians Government publicly took our position Supreme decree is being passed. Final draft cleared by the Secretary of Energy. </w:t>
      </w:r>
    </w:p>
    <w:p>
      <w:pPr>
        <w:pStyle w:val="Normal"/>
        <w:jc w:val="both"/>
        <w:rPr/>
      </w:pPr>
      <w:r>
        <w:rPr/>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 xml:space="preserve">Cabinet adjourned for the Holidays; it will be taken up in January </w:t>
      </w:r>
    </w:p>
    <w:p>
      <w:pPr>
        <w:pStyle w:val="Normal"/>
        <w:jc w:val="both"/>
        <w:rPr>
          <w:rFonts w:ascii="Times New Roman" w:hAnsi="Times New Roman" w:cs="Times New Roman"/>
          <w:sz w:val="20"/>
          <w:u w:val="none"/>
        </w:rPr>
      </w:pPr>
      <w:r>
        <w:rPr>
          <w:rFonts w:cs="Times New Roman"/>
          <w:sz w:val="20"/>
          <w:u w:val="none"/>
        </w:rPr>
      </w:r>
    </w:p>
    <w:p>
      <w:pPr>
        <w:pStyle w:val="Normal"/>
        <w:jc w:val="both"/>
        <w:rPr/>
      </w:pPr>
      <w:r>
        <w:rPr>
          <w:b/>
        </w:rPr>
        <w:t>Reis</w:t>
      </w:r>
      <w:r>
        <w:rPr/>
        <w:t xml:space="preserve">.- Get Permits on time for our Power Plants projects.-, 500 MW RioGen, 300 MW Eletrobolt (Merchant) and 480 MW Cuiaba II. Extension of CCC account (diesel fuel) coverage for  Cuiaba I, plus  re-authorizations for Phase II. Obtained the Puerto Suarez electricity import authorization. </w:t>
      </w:r>
    </w:p>
    <w:p>
      <w:pPr>
        <w:pStyle w:val="Normal"/>
        <w:jc w:val="both"/>
        <w:rPr/>
      </w:pPr>
      <w:r>
        <w:rPr/>
      </w:r>
    </w:p>
    <w:p>
      <w:pPr>
        <w:pStyle w:val="Heading2"/>
        <w:ind w:hanging="0" w:start="720" w:end="0"/>
        <w:rPr>
          <w:rFonts w:ascii="Times New Roman" w:hAnsi="Times New Roman" w:cs="Times New Roman"/>
          <w:sz w:val="20"/>
          <w:u w:val="none"/>
        </w:rPr>
      </w:pPr>
      <w:r>
        <w:rPr>
          <w:rFonts w:cs="Times New Roman" w:ascii="Times New Roman" w:hAnsi="Times New Roman"/>
          <w:sz w:val="20"/>
          <w:u w:val="none"/>
        </w:rPr>
        <w:t>We have all IPP authorizations for all these projects</w:t>
      </w:r>
    </w:p>
    <w:p>
      <w:pPr>
        <w:pStyle w:val="Normal"/>
        <w:rPr>
          <w:rFonts w:ascii="Times New Roman" w:hAnsi="Times New Roman" w:cs="Times New Roman"/>
          <w:sz w:val="20"/>
          <w:u w:val="none"/>
        </w:rPr>
      </w:pPr>
      <w:r>
        <w:rPr>
          <w:rFonts w:cs="Times New Roman"/>
          <w:sz w:val="20"/>
          <w:u w:val="none"/>
        </w:rPr>
      </w:r>
    </w:p>
    <w:p>
      <w:pPr>
        <w:pStyle w:val="Heading2"/>
        <w:ind w:hanging="0" w:start="0"/>
        <w:rPr/>
      </w:pPr>
      <w:r>
        <w:rPr/>
        <w:t>Developmental Needs</w:t>
      </w:r>
    </w:p>
    <w:p>
      <w:pPr>
        <w:pStyle w:val="Normal"/>
        <w:rPr>
          <w:rFonts w:ascii="Antique Olive" w:hAnsi="Antique Olive" w:cs="Antique Olive"/>
          <w:b/>
          <w:color w:val="000080"/>
          <w:sz w:val="24"/>
          <w:u w:val="single"/>
        </w:rPr>
      </w:pPr>
      <w:r>
        <w:rPr>
          <w:rFonts w:cs="Antique Olive" w:ascii="Antique Olive" w:hAnsi="Antique Olive"/>
          <w:b/>
          <w:color w:val="000080"/>
          <w:sz w:val="24"/>
          <w:u w:val="single"/>
        </w:rPr>
      </w:r>
    </w:p>
    <w:p>
      <w:pPr>
        <w:pStyle w:val="Normal"/>
        <w:rPr>
          <w:rFonts w:ascii="Antique Olive" w:hAnsi="Antique Olive" w:cs="Antique Olive"/>
          <w:b/>
          <w:color w:val="000080"/>
          <w:sz w:val="24"/>
          <w:u w:val="single"/>
        </w:rPr>
      </w:pPr>
      <w:r>
        <w:rPr>
          <w:rFonts w:cs="Antique Olive" w:ascii="Antique Olive" w:hAnsi="Antique Olive"/>
          <w:b/>
          <w:color w:val="000080"/>
          <w:sz w:val="24"/>
          <w:u w:val="single"/>
        </w:rPr>
      </w:r>
    </w:p>
    <w:p>
      <w:pPr>
        <w:pStyle w:val="Normal"/>
        <w:rPr>
          <w:rFonts w:ascii="Antique Olive" w:hAnsi="Antique Olive" w:cs="Antique Olive"/>
          <w:b/>
          <w:color w:val="000080"/>
          <w:sz w:val="24"/>
          <w:u w:val="single"/>
        </w:rPr>
      </w:pPr>
      <w:r>
        <w:rPr>
          <w:rFonts w:cs="Antique Olive" w:ascii="Antique Olive" w:hAnsi="Antique Olive"/>
          <w:b/>
          <w:color w:val="000080"/>
          <w:sz w:val="24"/>
          <w:u w:val="single"/>
        </w:rPr>
        <w:t xml:space="preserve">Overall Comments </w:t>
      </w:r>
    </w:p>
    <w:p>
      <w:pPr>
        <w:pStyle w:val="Normal"/>
        <w:rPr>
          <w:rFonts w:ascii="Antique Olive" w:hAnsi="Antique Olive" w:cs="Antique Olive"/>
          <w:b/>
          <w:color w:val="000080"/>
          <w:sz w:val="24"/>
          <w:u w:val="single"/>
        </w:rPr>
      </w:pPr>
      <w:r>
        <w:rPr>
          <w:rFonts w:cs="Antique Olive" w:ascii="Antique Olive" w:hAnsi="Antique Olive"/>
          <w:b/>
          <w:color w:val="000080"/>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ind w:hanging="2160" w:start="2160" w:end="0"/>
        <w:rPr>
          <w:b/>
          <w:color w:val="000080"/>
          <w:sz w:val="24"/>
        </w:rPr>
      </w:pPr>
      <w:r>
        <w:rPr>
          <w:b/>
          <w:color w:val="000080"/>
          <w:sz w:val="24"/>
        </w:rPr>
        <w:t xml:space="preserve"> </w:t>
      </w:r>
      <w:r>
        <w:rPr>
          <w:b/>
          <w:color w:val="000080"/>
          <w:sz w:val="24"/>
        </w:rPr>
        <w:tab/>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tique Olive">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ntique Olive" w:hAnsi="Antique Olive" w:cs="Antique Olive"/>
      <w:b/>
      <w:color w:val="800080"/>
      <w:sz w:val="24"/>
      <w:u w:val="single"/>
    </w:rPr>
  </w:style>
  <w:style w:type="paragraph" w:styleId="Heading2">
    <w:name w:val="heading 2"/>
    <w:basedOn w:val="Normal"/>
    <w:next w:val="Normal"/>
    <w:qFormat/>
    <w:pPr>
      <w:keepNext w:val="true"/>
      <w:numPr>
        <w:ilvl w:val="1"/>
        <w:numId w:val="1"/>
      </w:numPr>
      <w:outlineLvl w:val="1"/>
    </w:pPr>
    <w:rPr>
      <w:rFonts w:ascii="Antique Olive" w:hAnsi="Antique Olive" w:cs="Antique Olive"/>
      <w:b/>
      <w:color w:val="000080"/>
      <w:sz w:val="24"/>
      <w:u w:val="single"/>
    </w:rPr>
  </w:style>
  <w:style w:type="paragraph" w:styleId="Heading3">
    <w:name w:val="heading 3"/>
    <w:basedOn w:val="Normal"/>
    <w:next w:val="Normal"/>
    <w:qFormat/>
    <w:pPr>
      <w:keepNext w:val="true"/>
      <w:numPr>
        <w:ilvl w:val="2"/>
        <w:numId w:val="1"/>
      </w:numPr>
      <w:outlineLvl w:val="2"/>
    </w:pPr>
    <w:rPr>
      <w:b/>
      <w:color w:val="0000FF"/>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ntique Olive" w:hAnsi="Antique Olive" w:cs="Antique Olive"/>
      <w:b/>
      <w:color w:val="0000FF"/>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color w:val="000000"/>
      <w:lang w:eastAsia="en-US"/>
    </w:rPr>
  </w:style>
  <w:style w:type="paragraph" w:styleId="BodyTextIndent">
    <w:name w:val="Body Text Indent"/>
    <w:basedOn w:val="Normal"/>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2000-12-06T11:10:00Z</dcterms:created>
  <dc:creator>EI</dc:creator>
  <dc:description/>
  <dc:language>en-CA</dc:language>
  <cp:lastModifiedBy>Jose Bestard</cp:lastModifiedBy>
  <dcterms:modified xsi:type="dcterms:W3CDTF">2001-01-04T15:09:00Z</dcterms:modified>
  <cp:revision>26</cp:revision>
  <dc:subject/>
  <dc:title>1999 PRC Reviews</dc:title>
</cp:coreProperties>
</file>