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J.M. Huber Corporation, a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Depreciation, Depletion and Amortization Expense</w:t>
      </w:r>
      <w:r>
        <w:rPr>
          <w:rFonts w:cs="Arial Narrow" w:ascii="Arial Narrow" w:hAnsi="Arial Narrow"/>
          <w:sz w:val="18"/>
        </w:rPr>
        <w:t>" means, with respect to Customer,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xml:space="preserve">" means, with respect to Customer,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EBITDA Coverage Ratio</w:t>
      </w:r>
      <w:r>
        <w:rPr>
          <w:rFonts w:cs="Arial Narrow" w:ascii="Arial Narrow" w:hAnsi="Arial Narrow"/>
          <w:sz w:val="18"/>
        </w:rPr>
        <w:t>"means,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 "</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.60 to 1; or (b) its Net Worth falls below $600,000,000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J.M.Huber Corporation,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J.M.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2000-08-17T13:39:00Z</dcterms:created>
  <dc:creator>dperlin</dc:creator>
  <dc:description/>
  <dc:language>en-CA</dc:language>
  <cp:lastModifiedBy>dperlin</cp:lastModifiedBy>
  <cp:lastPrinted>2000-08-18T09:45:00Z</cp:lastPrinted>
  <dcterms:modified xsi:type="dcterms:W3CDTF">2000-08-18T12:19:00Z</dcterms:modified>
  <cp:revision>4</cp:revision>
  <dc:subject/>
  <dc:title>ENFOLIO® MASTER FIRM PURCHASE/SALE AGREEMENT</dc:title>
</cp:coreProperties>
</file>