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end="-720"/>
        <w:rPr>
          <w:rFonts w:ascii="Arial" w:hAnsi="Arial" w:cs="Arial"/>
          <w:b/>
          <w:caps/>
          <w:sz w:val="28"/>
        </w:rPr>
      </w:pPr>
      <w:r>
        <w:rPr>
          <w:rFonts w:cs="Arial" w:ascii="Arial" w:hAnsi="Arial"/>
          <w:b/>
          <w:caps/>
          <w:sz w:val="28"/>
        </w:rPr>
        <w:t>John D. Martin</w:t>
      </w:r>
    </w:p>
    <w:p>
      <w:pPr>
        <w:pStyle w:val="Normal"/>
        <w:spacing w:lineRule="auto" w:line="240" w:before="0" w:after="0"/>
        <w:ind w:end="-720"/>
        <w:rPr>
          <w:rFonts w:ascii="Arial" w:hAnsi="Arial" w:cs="Arial"/>
          <w:b/>
        </w:rPr>
      </w:pPr>
      <w:r>
        <w:rPr>
          <w:rFonts w:cs="Arial" w:ascii="Arial" w:hAnsi="Arial"/>
          <w:b/>
        </w:rPr>
        <w:t xml:space="preserve">Carr P. Collins Chair and Professor of Finance </w:t>
      </w:r>
    </w:p>
    <w:p>
      <w:pPr>
        <w:pStyle w:val="Normal"/>
        <w:spacing w:lineRule="auto" w:line="240" w:before="0" w:after="0"/>
        <w:ind w:end="-720"/>
        <w:rPr>
          <w:rFonts w:ascii="Arial" w:hAnsi="Arial" w:cs="Arial"/>
          <w:b/>
        </w:rPr>
      </w:pPr>
      <w:r>
        <w:rPr>
          <w:rFonts w:cs="Arial" w:ascii="Arial" w:hAnsi="Arial"/>
          <w:b/>
        </w:rPr>
        <w:t>Hankamer School of Business</w:t>
      </w:r>
    </w:p>
    <w:p>
      <w:pPr>
        <w:pStyle w:val="Normal"/>
        <w:spacing w:lineRule="auto" w:line="240" w:before="0" w:after="0"/>
        <w:ind w:end="-720"/>
        <w:rPr>
          <w:b/>
          <w:sz w:val="20"/>
        </w:rPr>
      </w:pPr>
      <w:r>
        <w:rPr>
          <w:rFonts w:cs="Arial" w:ascii="Arial" w:hAnsi="Arial"/>
          <w:b/>
        </w:rPr>
        <w:t>Baylor University</w:t>
      </w:r>
      <w:r>
        <w:rPr>
          <w:b/>
        </w:rPr>
        <w:t xml:space="preserve"> </w:t>
      </w:r>
    </w:p>
    <w:p>
      <w:pPr>
        <w:pStyle w:val="Heading1"/>
        <w:spacing w:before="0" w:after="0"/>
        <w:ind w:hanging="0" w:start="0" w:end="-720"/>
        <w:rPr>
          <w:b w:val="false"/>
          <w:sz w:val="20"/>
        </w:rPr>
      </w:pPr>
      <w:r>
        <w:rPr>
          <w:b w:val="false"/>
          <w:sz w:val="20"/>
        </w:rPr>
      </w:r>
    </w:p>
    <w:p>
      <w:pPr>
        <w:pStyle w:val="Heading3"/>
        <w:ind w:hanging="0" w:start="0" w:end="-720"/>
        <w:rPr>
          <w:sz w:val="20"/>
        </w:rPr>
      </w:pPr>
      <w:r>
        <w:rPr>
          <w:sz w:val="20"/>
        </w:rPr>
        <w:t>Background</w:t>
      </w:r>
    </w:p>
    <w:p>
      <w:pPr>
        <w:pStyle w:val="Normal"/>
        <w:spacing w:lineRule="auto" w:line="240"/>
        <w:ind w:end="-720"/>
        <w:rPr/>
      </w:pPr>
      <w:r>
        <w:rPr>
          <w:sz w:val="20"/>
        </w:rPr>
        <w:t xml:space="preserve">I came to Baylor University in 1998 from the University of Texas at Austin where I had taught for eighteen years and was the Margaret and Eugene McDermott Centennial Professor of Finance.  My research has been published widely in both academic and professional journals, and my </w:t>
      </w:r>
      <w:r>
        <w:rPr>
          <w:iCs/>
          <w:sz w:val="20"/>
        </w:rPr>
        <w:t xml:space="preserve">most recent work is a book entitled </w:t>
      </w:r>
      <w:r>
        <w:rPr>
          <w:i/>
          <w:sz w:val="20"/>
        </w:rPr>
        <w:t xml:space="preserve">Value Based Management </w:t>
      </w:r>
      <w:r>
        <w:rPr>
          <w:iCs/>
          <w:sz w:val="20"/>
        </w:rPr>
        <w:t xml:space="preserve">published in October 2000 by the </w:t>
      </w:r>
      <w:r>
        <w:rPr>
          <w:sz w:val="20"/>
        </w:rPr>
        <w:t>Harvard Business School Press.</w:t>
      </w:r>
    </w:p>
    <w:p>
      <w:pPr>
        <w:pStyle w:val="Normal"/>
        <w:spacing w:lineRule="auto" w:line="240"/>
        <w:ind w:end="-720"/>
        <w:rPr>
          <w:sz w:val="20"/>
        </w:rPr>
      </w:pPr>
      <w:r>
        <w:rPr>
          <w:sz w:val="20"/>
        </w:rPr>
        <w:t xml:space="preserve">My recent teaching experience has been in traditional and executive MBA programs.  However, I have also been involved in developing seminars for executives and chaired the undergraduate program committee at the University of Texas for several years.  In addition to classroom teaching I have written teaching materials (texts, cases, notes, etc.) and have a keen interest in the impact of developing technologies for the delivery of classroom support materials.   </w:t>
      </w:r>
    </w:p>
    <w:p>
      <w:pPr>
        <w:pStyle w:val="Heading3"/>
        <w:ind w:hanging="0" w:start="0" w:end="-720"/>
        <w:rPr>
          <w:sz w:val="20"/>
        </w:rPr>
      </w:pPr>
      <w:r>
        <w:rPr>
          <w:sz w:val="20"/>
        </w:rPr>
        <w:t>Views on “Business Education in the New Economy”</w:t>
      </w:r>
    </w:p>
    <w:p>
      <w:pPr>
        <w:pStyle w:val="Normal"/>
        <w:numPr>
          <w:ilvl w:val="0"/>
          <w:numId w:val="2"/>
        </w:numPr>
        <w:spacing w:lineRule="auto" w:line="240"/>
        <w:ind w:hanging="360" w:start="360" w:end="-720"/>
        <w:rPr>
          <w:sz w:val="20"/>
        </w:rPr>
      </w:pPr>
      <w:r>
        <w:rPr>
          <w:sz w:val="20"/>
        </w:rPr>
        <w:t xml:space="preserve">Universities, and business schools in particular, are one of the few industries that have not experienced major restructuring in the last two decades.  Our time </w:t>
      </w:r>
      <w:r>
        <w:rPr>
          <w:i/>
          <w:iCs/>
          <w:sz w:val="20"/>
        </w:rPr>
        <w:t>may</w:t>
      </w:r>
      <w:r>
        <w:rPr>
          <w:sz w:val="20"/>
        </w:rPr>
        <w:t xml:space="preserve"> be coming.</w:t>
      </w:r>
    </w:p>
    <w:p>
      <w:pPr>
        <w:pStyle w:val="Normal"/>
        <w:numPr>
          <w:ilvl w:val="0"/>
          <w:numId w:val="2"/>
        </w:numPr>
        <w:spacing w:lineRule="auto" w:line="240"/>
        <w:ind w:hanging="360" w:start="360" w:end="-720"/>
        <w:rPr>
          <w:sz w:val="20"/>
        </w:rPr>
      </w:pPr>
      <w:r>
        <w:rPr>
          <w:sz w:val="20"/>
        </w:rPr>
        <w:t xml:space="preserve">The convergence of communication and information technologies (telephone, wireless, cable, internet, personal computers, and television) has the potential to revolutionalize educational delivery systems.  This may pose a threat to some institutions and programs, but will certainly provide tremendous opportunities for universities to reach both traditional and nontraditional learners with new and innovative programs.  However, I wonder </w:t>
      </w:r>
      <w:r>
        <w:rPr>
          <w:i/>
          <w:iCs/>
          <w:sz w:val="20"/>
        </w:rPr>
        <w:t>who</w:t>
      </w:r>
      <w:r>
        <w:rPr>
          <w:sz w:val="20"/>
        </w:rPr>
        <w:t xml:space="preserve"> will capitalize on these opportunities.  The incentive systems that I have observed in traditional (public and private) university environments seems to encourage response to threats, but does not provide symmetric incentives to capitalize on opportunity.  </w:t>
      </w:r>
    </w:p>
    <w:p>
      <w:pPr>
        <w:pStyle w:val="Normal"/>
        <w:numPr>
          <w:ilvl w:val="0"/>
          <w:numId w:val="2"/>
        </w:numPr>
        <w:spacing w:lineRule="auto" w:line="240"/>
        <w:ind w:hanging="360" w:start="360" w:end="-720"/>
        <w:rPr>
          <w:sz w:val="20"/>
        </w:rPr>
      </w:pPr>
      <w:r>
        <w:rPr>
          <w:sz w:val="20"/>
        </w:rPr>
        <w:t xml:space="preserve">The rapid pace of transactions and the increasing pace of change in business environments pose some serious challenges to the content of traditional business disciplines.  I believe that traditional cost based GAAP accounting methods are increasingly irrelevant for investors who want to use those statements in the assessment of firm value.  Key issues here are accounting for the costs of developing new products and for customer acquisition.  In addition, traditional methods for thinking about business valuation using discounted cash flow methods fall far short of capturing the true value drivers in the new economy, which rely on the ability of the firm to create sustainable opportunities.  </w:t>
      </w:r>
    </w:p>
    <w:p>
      <w:pPr>
        <w:pStyle w:val="Normal"/>
        <w:numPr>
          <w:ilvl w:val="0"/>
          <w:numId w:val="2"/>
        </w:numPr>
        <w:spacing w:lineRule="auto" w:line="240" w:before="120" w:after="120"/>
        <w:ind w:hanging="360" w:start="360" w:end="-720"/>
        <w:rPr>
          <w:sz w:val="20"/>
        </w:rPr>
      </w:pPr>
      <w:r>
        <w:rPr>
          <w:sz w:val="20"/>
        </w:rPr>
        <w:t xml:space="preserve">The increasing pace of change in market conditions places a premium on building flexible organizations.  One possible response to this new business environment is developing a fluid and flexible internal structure that can respond quickly to changed circumstances (the Enron model).  Alternatively business may be increasingly accomplished through the formation of networks of firms that can be brought together quickly when opportunities arise and then disbanded when the opportunity no longer exists (the Nike model).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before="120" w:after="12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240"/>
      <w:outlineLvl w:val="0"/>
    </w:pPr>
    <w:rPr>
      <w:b/>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auto" w:line="240"/>
      <w:jc w:val="both"/>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2001-02-05T19:44:00Z</dcterms:created>
  <dc:creator>John Martin</dc:creator>
  <dc:description/>
  <dc:language>en-CA</dc:language>
  <cp:lastModifiedBy>Casey Computer Center</cp:lastModifiedBy>
  <cp:lastPrinted>2001-02-12T09:32:00Z</cp:lastPrinted>
  <dcterms:modified xsi:type="dcterms:W3CDTF">2001-02-12T13:15:00Z</dcterms:modified>
  <cp:revision>10</cp:revision>
  <dc:subject/>
  <dc:title>John D</dc:title>
</cp:coreProperties>
</file>