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Prior to the Allocation Date (hereafter defined), the DCQ shall be up to 40,000 MMBtu Per Day in accordance with the Scheduling provisions of this Transaction Agreement.  On and after the Allocation Date, the DCQ shall be the quantity of Gas equal to that portion of the Transport Capacity (hereafter defined) allocated to the primary receipt point of San Juan.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________ County, Colorado.  </w:t>
      </w:r>
    </w:p>
    <w:p>
      <w:pPr>
        <w:pStyle w:val="BodyText"/>
        <w:ind w:hanging="4680" w:start="4680" w:end="0"/>
        <w:rPr/>
      </w:pPr>
      <w:r>
        <w:rPr>
          <w:rFonts w:cs="Arial Narrow" w:ascii="Arial Narrow" w:hAnsi="Arial Narrow"/>
          <w:sz w:val="19"/>
        </w:rPr>
        <w:t>CONTRACT PRICE (per MMBtu):</w:t>
        <w:tab/>
        <w:t xml:space="preserve">The Contract Price for all Package A Gas (hereafter defined) and the DCQ after the Allocation Date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Package C Gas (hereafter defined), shall be the </w:t>
      </w:r>
      <w:r>
        <w:rPr>
          <w:rFonts w:cs="Arial Narrow" w:ascii="Arial Narrow" w:hAnsi="Arial Narrow"/>
          <w:color w:val="000000"/>
        </w:rPr>
        <w:t xml:space="preserve">“Index Price“ published in </w:t>
      </w:r>
      <w:r>
        <w:rPr>
          <w:rFonts w:cs="Arial Narrow" w:ascii="Arial Narrow" w:hAnsi="Arial Narrow"/>
          <w:u w:val="single"/>
        </w:rPr>
        <w:t>Inside F.E.R.C.’s Gas Market Report</w:t>
      </w:r>
      <w:r>
        <w:rPr>
          <w:rFonts w:cs="Arial Narrow" w:ascii="Arial Narrow" w:hAnsi="Arial Narrow"/>
        </w:rPr>
        <w:t>, in the first issue of the delivery Month, for “El Paso-San Juan”, minus $0.10, minus the Gathering Charges for each Month during the Period of Delivery.</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Williams Field Services Company (“WFS”) under that certain Gas Gathering Agreement dated August 1, 1999 between Buyer (as partial assignee of Seller) and WFS, as agent for Williams Gas Processing Company (the “Gathering Agreement”) relative to the DCQ.  During all periods of Force Majeure hereunder, Seller shall reimburse Buyer for the Gathering Charges as invoiced by WFS.  </w:t>
      </w:r>
    </w:p>
    <w:p>
      <w:pPr>
        <w:pStyle w:val="BodyText"/>
        <w:ind w:hanging="4680" w:start="468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May 31, 2006</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pPr>
      <w:r>
        <w:rPr/>
        <w:t>The quantity of Gas not scheduled by El Paso at PG&amp;E Topock in (A) above and alternatively nominated by ENA and scheduled and confirmed by Northwest Pipeline Company at Ignacio (“Package B Gas”); plus</w:t>
      </w:r>
    </w:p>
    <w:p>
      <w:pPr>
        <w:pStyle w:val="BodyTextIndent3"/>
        <w:numPr>
          <w:ilvl w:val="0"/>
          <w:numId w:val="3"/>
        </w:numPr>
        <w:tabs>
          <w:tab w:val="clear" w:pos="4680"/>
          <w:tab w:val="left" w:pos="5220" w:leader="none"/>
          <w:tab w:val="left" w:pos="8640" w:leader="none"/>
        </w:tabs>
        <w:rPr>
          <w:iCs/>
        </w:rPr>
      </w:pPr>
      <w:r>
        <w:rPr/>
        <w:t xml:space="preserve">10,000 MMBtu per Day (“Package C Gas”).   </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 such that Company receives the Transport Capacity necessary to perform its obligations hereunder.</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OF PACKAGE B:</w:t>
        <w:tab/>
        <w:t>Notwithstanding any to the contrary contained herein or in the ENFOLIO Master Firm Purchase/Sale Agreement, Seller may interrupt or curtail its delivery of the Package B Gas for failure of production reasons.</w:t>
      </w:r>
    </w:p>
    <w:p>
      <w:pPr>
        <w:pStyle w:val="BodyTextIndent3"/>
        <w:tabs>
          <w:tab w:val="clear" w:pos="4680"/>
          <w:tab w:val="left" w:pos="8640" w:leader="none"/>
        </w:tabs>
        <w:rPr/>
      </w:pPr>
      <w:r>
        <w:rPr/>
      </w:r>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/mnt/main-storage/datasets/enron-docs/doc/JM_Huber_Confirm__Cal_4.doc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2001-10-16T17:49:00Z</dcterms:created>
  <dc:creator>dhyvl</dc:creator>
  <dc:description/>
  <dc:language>en-CA</dc:language>
  <cp:lastModifiedBy>gnemec</cp:lastModifiedBy>
  <cp:lastPrinted>2001-10-16T15:10:00Z</cp:lastPrinted>
  <dcterms:modified xsi:type="dcterms:W3CDTF">2001-10-16T17:49:00Z</dcterms:modified>
  <cp:revision>2</cp:revision>
  <dc:subject/>
  <dc:title>June 1,  2000</dc:title>
</cp:coreProperties>
</file>