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3,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The lessor of (i) 20,000 MMBtu per Day or (ii) the quantity of Gas scheduled by El Paso Natural Gas Company (“EL Paso”) under Customer’s Transport (hereafter defined) to the Delivery Point(s).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PG&amp;E Topock on El Paso (EPNG Code 157).  In the event that El Paso restricts the quantity of Gas Customer is able to Schedule at PG&amp;E Topock, Seller shall Schedule the remaining portion of the DCQ at </w:t>
      </w:r>
      <w:r>
        <w:rPr>
          <w:rFonts w:cs="Arial Narrow" w:ascii="Arial Narrow" w:hAnsi="Arial Narrow"/>
          <w:i/>
          <w:iCs/>
          <w:sz w:val="19"/>
        </w:rPr>
        <w:t>[</w:t>
      </w:r>
      <w:r>
        <w:rPr>
          <w:rFonts w:cs="Arial Narrow" w:ascii="Arial Narrow" w:hAnsi="Arial Narrow"/>
          <w:b/>
          <w:bCs/>
          <w:i/>
          <w:iCs/>
          <w:sz w:val="19"/>
        </w:rPr>
        <w:t>San Juan</w:t>
      </w:r>
      <w:r>
        <w:rPr>
          <w:rFonts w:cs="Arial Narrow" w:ascii="Arial Narrow" w:hAnsi="Arial Narrow"/>
          <w:i/>
          <w:iCs/>
          <w:sz w:val="19"/>
        </w:rPr>
        <w:t>]</w:t>
      </w:r>
      <w:r>
        <w:rPr>
          <w:rFonts w:cs="Arial Narrow" w:ascii="Arial Narrow" w:hAnsi="Arial Narrow"/>
          <w:sz w:val="19"/>
        </w:rPr>
        <w:t>.</w:t>
      </w:r>
    </w:p>
    <w:p>
      <w:pPr>
        <w:pStyle w:val="BodyText"/>
        <w:ind w:hanging="4680" w:start="4680" w:end="0"/>
        <w:rPr>
          <w:sz w:val="19"/>
        </w:rPr>
      </w:pPr>
      <w:r>
        <w:rPr>
          <w:rFonts w:cs="Arial Narrow" w:ascii="Arial Narrow" w:hAnsi="Arial Narrow"/>
          <w:sz w:val="19"/>
        </w:rPr>
        <w:t>CONTRACT PRICE (per MMBtu):</w:t>
        <w:tab/>
        <w:t xml:space="preserve">The Contract Price for all quanitities of Gas Scheduled at the PG&amp;E Topock Delivery Point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The Contract Price for all quanitities of Gas Scheduled at the </w:t>
      </w:r>
      <w:r>
        <w:rPr>
          <w:rFonts w:cs="Arial Narrow" w:ascii="Arial Narrow" w:hAnsi="Arial Narrow"/>
          <w:b/>
          <w:bCs/>
          <w:i/>
          <w:iCs/>
          <w:sz w:val="19"/>
        </w:rPr>
        <w:t>[San Juan]</w:t>
      </w:r>
      <w:r>
        <w:rPr>
          <w:rFonts w:cs="Arial Narrow" w:ascii="Arial Narrow" w:hAnsi="Arial Narrow"/>
          <w:sz w:val="19"/>
        </w:rPr>
        <w:t xml:space="preserve"> Delivery Point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_______________ minus $_____.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November 1, 2001 through May 31, 2006</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Satisfaction by Customer of all the conditions set forth in Section 3.1 of that certain Capacity Release and Assignment Agreement between Customer and Company of even date herewith (the “Capacity Release Agreement”).</w:t>
      </w:r>
    </w:p>
    <w:p>
      <w:pPr>
        <w:pStyle w:val="Normal"/>
        <w:numPr>
          <w:ilvl w:val="0"/>
          <w:numId w:val="2"/>
        </w:numPr>
        <w:jc w:val="both"/>
        <w:rPr>
          <w:rFonts w:ascii="Arial Narrow" w:hAnsi="Arial Narrow" w:cs="Arial Narrow"/>
          <w:i/>
          <w:i/>
          <w:iCs/>
          <w:sz w:val="19"/>
        </w:rPr>
      </w:pPr>
      <w:r>
        <w:rPr>
          <w:rFonts w:cs="Arial Narrow" w:ascii="Arial Narrow" w:hAnsi="Arial Narrow"/>
          <w:sz w:val="19"/>
        </w:rPr>
        <w:t>Completion of the permanent capacity release of the El Paso transportation capacity from Company to Customer in accordance with the terms and conditions of the Capacity Release Agreement.</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2001-10-02T20:08:00Z</dcterms:created>
  <dc:creator>dhyvl</dc:creator>
  <dc:description/>
  <dc:language>en-CA</dc:language>
  <cp:lastModifiedBy>gnemec</cp:lastModifiedBy>
  <cp:lastPrinted>2001-10-02T18:09:00Z</cp:lastPrinted>
  <dcterms:modified xsi:type="dcterms:W3CDTF">2001-10-02T20:41:00Z</dcterms:modified>
  <cp:revision>3</cp:revision>
  <dc:subject/>
  <dc:title>June 1,  2000</dc:title>
</cp:coreProperties>
</file>