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J.M. Huber Corporation, a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Depreciation, Depletion and Amortization Expense</w:t>
      </w:r>
      <w:r>
        <w:rPr>
          <w:rFonts w:cs="Arial Narrow" w:ascii="Arial Narrow" w:hAnsi="Arial Narrow"/>
          <w:sz w:val="18"/>
        </w:rPr>
        <w:t>" means, with respect to Customer,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xml:space="preserve">" means, with respect to Customer,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 "</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.60 to 1; or (b) its Net Worth falls below $600,000,000 or (c) that ratio of its EBITDA to Interest Expense is more than 5 to 1.</w:t>
      </w:r>
    </w:p>
    <w:p>
      <w:pPr>
        <w:pStyle w:val="Normal"/>
        <w:ind w:start="360" w:end="0"/>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J.M.Huber Corporation,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J.M.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2000-08-18T13:14:00Z</dcterms:created>
  <dc:creator>dperlin</dc:creator>
  <dc:description/>
  <dc:language>en-CA</dc:language>
  <cp:lastModifiedBy>dperlin</cp:lastModifiedBy>
  <cp:lastPrinted>2000-08-18T10:48:00Z</cp:lastPrinted>
  <dcterms:modified xsi:type="dcterms:W3CDTF">2000-08-18T13:35:00Z</dcterms:modified>
  <cp:revision>3</cp:revision>
  <dc:subject/>
  <dc:title>ENFOLIO® MASTER FIRM PURCHASE/SALE AGREEMENT</dc:title>
</cp:coreProperties>
</file>