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J.M. Huber Corporation</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J.M. Huber Corporation</w:t>
      </w:r>
      <w:r>
        <w:rPr>
          <w:smallCaps/>
          <w:sz w:val="22"/>
        </w:rPr>
        <w:t xml:space="preserve">, </w:t>
      </w:r>
      <w:r>
        <w:rPr>
          <w:sz w:val="22"/>
        </w:rPr>
        <w:t xml:space="preserve">a New Jersey corporation (hereinafter referred to as “JMH”), </w:t>
      </w:r>
      <w:r>
        <w:rPr>
          <w:b/>
          <w:smallCaps/>
          <w:sz w:val="22"/>
        </w:rPr>
        <w:t>Enron North America Corp</w:t>
      </w:r>
      <w:r>
        <w:rPr>
          <w:smallCaps/>
          <w:sz w:val="22"/>
        </w:rPr>
        <w:t xml:space="preserve">., </w:t>
      </w:r>
      <w:r>
        <w:rPr>
          <w:sz w:val="22"/>
        </w:rPr>
        <w:t>a Delaware corporation (hereinafter referred to as “ENA”) (each a “Party” and collectively the “Parties”).</w:t>
      </w:r>
    </w:p>
    <w:p>
      <w:pPr>
        <w:pStyle w:val="Normal"/>
        <w:spacing w:before="120" w:after="0"/>
        <w:ind w:firstLine="720" w:end="0"/>
        <w:jc w:val="both"/>
        <w:rPr/>
      </w:pPr>
      <w:r>
        <w:rPr>
          <w:smallCaps/>
          <w:sz w:val="22"/>
        </w:rPr>
        <w:t>Whereas</w:t>
      </w:r>
      <w:r>
        <w:rPr>
          <w:sz w:val="22"/>
        </w:rPr>
        <w:t>, ENA has agreed to assign and transfer the Assigned Capacity (hereafter defined) to JMH, and JMH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November 1, 2001.</w:t>
      </w:r>
    </w:p>
    <w:p>
      <w:pPr>
        <w:pStyle w:val="Justified"/>
        <w:spacing w:before="120" w:after="0"/>
        <w:ind w:firstLine="720" w:end="0"/>
        <w:rPr/>
      </w:pPr>
      <w:r>
        <w:rPr>
          <w:sz w:val="22"/>
        </w:rPr>
        <w:t>“</w:t>
      </w:r>
      <w:r>
        <w:rPr>
          <w:b/>
          <w:i/>
          <w:sz w:val="22"/>
        </w:rPr>
        <w:t>Conditions Deadline</w:t>
      </w:r>
      <w:r>
        <w:rPr>
          <w:sz w:val="22"/>
        </w:rPr>
        <w:t>” means 5:00 p.m. Central Time on _________, 2001.</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JMH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JMH,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affect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JMH and JMH agrees to accept such transfer and assignment of the Assigned Capacity.  ENA and JMH agree to enter into a prearranged permanent capacity release transaction, with JMH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JMH pursuant hereto, JMH shall assume all liabilities and obligations associated with the Assigned Capacity under the tariffs applicable to the Assigned Capacity which arise or accrue from and after the Commencement Date.  JMH shall indemnify ENA and save ENA harmless from and against all losses, costs, claims and damages (including legal fees) which ENA suffers, sustains, pays or incurs as a consequence of the failure of JMH to pay or discharge any of such liabilities or obligations.  JMH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JMH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JMH shall execute and deliver the Transfer Documents and take all other actions required by El Paso or the terms of the tariffs applicable to the Assigned Capacity in order to transfer and permanently release the Assigned Capacity from ENA to JMH effective on the Commencement Date.  </w:t>
      </w:r>
    </w:p>
    <w:p>
      <w:pPr>
        <w:pStyle w:val="Heading2"/>
        <w:spacing w:before="120" w:after="0"/>
        <w:rPr/>
      </w:pPr>
      <w:r>
        <w:rPr>
          <w:sz w:val="22"/>
        </w:rPr>
        <w:t>2.5</w:t>
        <w:tab/>
      </w:r>
      <w:r>
        <w:rPr>
          <w:b/>
          <w:bCs/>
          <w:sz w:val="22"/>
        </w:rPr>
        <w:t>Capacity Release Procedures</w:t>
      </w:r>
      <w:r>
        <w:rPr>
          <w:sz w:val="22"/>
        </w:rPr>
        <w:t>.  ENA and JMH shall timely commence the procedures and posting required to effectuate the permanent capacity release specified in Section 2.1 such that permanent capacity release is completed no later than 5:00 p.m. Central Time on __________, 2001.  JMH and ENA shall follow the procedures set forth in El Paso’s tariff, including without limitation, all bid or notice deadlines, as they are required to be met in order to transfer and permanently release the Assigned Capacity, from the Commencement Date forward, from ENA to JMH effective on 5:00 p.m. Central Time on __________, 2001.</w:t>
      </w:r>
    </w:p>
    <w:p>
      <w:pPr>
        <w:pStyle w:val="Heading2"/>
        <w:spacing w:before="0" w:after="0"/>
        <w:rPr>
          <w:sz w:val="22"/>
        </w:rPr>
      </w:pPr>
      <w:r>
        <w:rPr>
          <w:sz w:val="22"/>
        </w:rPr>
      </w:r>
    </w:p>
    <w:p>
      <w:pPr>
        <w:pStyle w:val="Heading2"/>
        <w:rPr/>
      </w:pPr>
      <w:r>
        <w:rPr>
          <w:sz w:val="22"/>
        </w:rPr>
        <w:t>2.6</w:t>
        <w:tab/>
      </w:r>
      <w:r>
        <w:rPr>
          <w:b/>
          <w:bCs/>
          <w:sz w:val="22"/>
        </w:rPr>
        <w:t xml:space="preserve"> FERC Capacity Proceedings</w:t>
      </w:r>
      <w:r>
        <w:rPr>
          <w:sz w:val="22"/>
        </w:rPr>
        <w:t>.</w:t>
        <w:tab/>
        <w:t xml:space="preserve">  JMH acknowledges and agrees that El Paso’s capacity allocation procedures are under review by FERC at Docket Nos. RP99-507-000, RP00-139-000, and RP00-336-000 and the Assigned Capacity as specified herein will be bound by any modifications resulting from such proceedings which are accepted by FERC.   In the event that such proceedings result in refunds of demand or reservation charges for the Assigned Capacity for periods prior to the Commencement Date, ENA shall be entitled to all such refunds and JMH will immediately reimburse ENA for any such refunds received by JMH.</w:t>
      </w:r>
    </w:p>
    <w:p>
      <w:pPr>
        <w:pStyle w:val="Heading2"/>
        <w:spacing w:before="120" w:after="0"/>
        <w:rPr/>
      </w:pPr>
      <w:r>
        <w:rPr>
          <w:sz w:val="22"/>
        </w:rPr>
        <w:t>2.7</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JMH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JMH’s rebidding for the Assigned Capacity after it has been reposted.  If a Regulatory Authority rules that the transfer of any part of the Assigned Capacity is void or of no effect and ENA and JMH are unable to resolve the issue that gave rise to the regulatory issue raised by the Regulatory Authority, ENA and JMH agree that the Assigned Capacity shall be reassigned to ENA and any Party may terminate this Agreement with fifteen (15) days written notice to the other Party.</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by ENA of the following conditions:</w:t>
      </w:r>
    </w:p>
    <w:p>
      <w:pPr>
        <w:pStyle w:val="Heading2"/>
        <w:spacing w:before="120" w:after="0"/>
        <w:ind w:start="720" w:end="0"/>
        <w:rPr>
          <w:sz w:val="22"/>
        </w:rPr>
      </w:pPr>
      <w:r>
        <w:rPr>
          <w:sz w:val="22"/>
        </w:rPr>
        <w:t>(a)</w:t>
        <w:tab/>
        <w:t>The representations and warranties made by JMH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JMH satisfies its creditworthiness requirements for purposes of permitting the transfer and release of the Assigned Capacity to JMH;</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JMH,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JMH's Conditions</w:t>
      </w:r>
      <w:r>
        <w:rPr>
          <w:sz w:val="22"/>
        </w:rPr>
        <w:t xml:space="preserve">.  JMH's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JMH may terminate JMH's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JMH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or receipt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JMH may disclose to El Paso the fact that it has entered into an agreement to acquire the Assigned Capacity, for purposes of satisfying El Paso's creditworthiness requirements and obtaining El Paso's consent to the assignment of the Assigned Capacity.  After the Conditions Deadline, JMH may disclose to the third parties the fact that it has acquired the Assigned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understandings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JMH:</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J.M. Huber Corporation</w:t>
            </w:r>
          </w:p>
          <w:p>
            <w:pPr>
              <w:pStyle w:val="Heading2"/>
              <w:spacing w:before="0" w:after="0"/>
              <w:ind w:hanging="0" w:start="342" w:end="0"/>
              <w:rPr>
                <w:sz w:val="22"/>
              </w:rPr>
            </w:pPr>
            <w:r>
              <w:rPr>
                <w:sz w:val="22"/>
              </w:rPr>
              <w:t>11451 Katy Freeway, Suite 400</w:t>
            </w:r>
          </w:p>
          <w:p>
            <w:pPr>
              <w:pStyle w:val="Heading2"/>
              <w:spacing w:before="0" w:after="0"/>
              <w:ind w:hanging="0" w:start="342" w:end="0"/>
              <w:rPr>
                <w:sz w:val="22"/>
              </w:rPr>
            </w:pPr>
            <w:r>
              <w:rPr>
                <w:sz w:val="22"/>
              </w:rPr>
              <w:t>Houston, Texas 77079</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Brian Stone </w:t>
            </w:r>
          </w:p>
          <w:p>
            <w:pPr>
              <w:pStyle w:val="Heading2"/>
              <w:spacing w:before="0" w:after="0"/>
              <w:ind w:firstLine="346" w:end="0"/>
              <w:rPr>
                <w:sz w:val="22"/>
              </w:rPr>
            </w:pPr>
            <w:r>
              <w:rPr>
                <w:sz w:val="22"/>
              </w:rPr>
              <w:t xml:space="preserve">Fax:  </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Phone:  (713) 853-1688</w:t>
            </w:r>
          </w:p>
          <w:p>
            <w:pPr>
              <w:pStyle w:val="Heading2"/>
              <w:spacing w:before="0" w:after="0"/>
              <w:ind w:firstLine="346" w:end="0"/>
              <w:rPr>
                <w:sz w:val="20"/>
              </w:rPr>
            </w:pPr>
            <w:r>
              <w:rPr>
                <w:sz w:val="20"/>
              </w:rPr>
              <w:t>Fax: (</w:t>
            </w:r>
            <w:r>
              <w:rPr>
                <w:bCs/>
                <w:sz w:val="20"/>
              </w:rPr>
              <w:t>713) 646-2391</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Party’s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J.M. Huber Corporation</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Tycholiz</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                </w:t>
      </w:r>
      <w:r>
        <w:rPr>
          <w:sz w:val="20"/>
        </w:rPr>
        <w:t xml:space="preserve">20,000 MMBtu/day  (November 1, 2001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snapToGrid w:val="false"/>
              <w:jc w:val="center"/>
              <w:rPr>
                <w:b/>
                <w:bCs/>
                <w:sz w:val="24"/>
              </w:rPr>
            </w:pPr>
            <w:r>
              <w:rPr>
                <w:b/>
                <w:bCs/>
                <w:sz w:val="24"/>
              </w:rPr>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20,000</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900" w:type="dxa"/>
            <w:tcBorders>
              <w:top w:val="single" w:sz="4" w:space="0" w:color="000000"/>
              <w:start w:val="single" w:sz="4" w:space="0" w:color="000000"/>
              <w:bottom w:val="single" w:sz="4" w:space="0" w:color="000000"/>
              <w:end w:val="single" w:sz="4" w:space="0" w:color="000000"/>
            </w:tcBorders>
          </w:tcPr>
          <w:p>
            <w:pPr>
              <w:pStyle w:val="FootnoteText"/>
              <w:snapToGrid w:val="false"/>
              <w:jc w:val="center"/>
              <w:rPr>
                <w:sz w:val="24"/>
              </w:rPr>
            </w:pPr>
            <w:r>
              <w:rPr>
                <w:sz w:val="24"/>
              </w:rPr>
            </w:r>
          </w:p>
        </w:tc>
        <w:tc>
          <w:tcPr>
            <w:tcW w:w="2029" w:type="dxa"/>
            <w:tcBorders>
              <w:top w:val="single" w:sz="4" w:space="0" w:color="000000"/>
              <w:start w:val="single" w:sz="4" w:space="0" w:color="000000"/>
              <w:bottom w:val="single" w:sz="4" w:space="0" w:color="000000"/>
              <w:end w:val="single" w:sz="4" w:space="0" w:color="000000"/>
            </w:tcBorders>
          </w:tcPr>
          <w:p>
            <w:pPr>
              <w:pStyle w:val="FootnoteText"/>
              <w:snapToGrid w:val="false"/>
              <w:jc w:val="center"/>
              <w:rPr>
                <w:sz w:val="24"/>
              </w:rPr>
            </w:pPr>
            <w:r>
              <w:rPr>
                <w:sz w:val="24"/>
              </w:rPr>
            </w:r>
          </w:p>
        </w:tc>
      </w:tr>
    </w:tbl>
    <w:p>
      <w:pPr>
        <w:pStyle w:val="FootnoteText"/>
        <w:jc w:val="center"/>
        <w:rPr>
          <w:b/>
          <w:bCs/>
          <w:sz w:val="24"/>
        </w:rPr>
      </w:pPr>
      <w:r>
        <w:rPr>
          <w:b/>
          <w:bCs/>
          <w:sz w:val="24"/>
        </w:rPr>
      </w:r>
    </w:p>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JMHAssignRelease.doc</w:t>
    </w:r>
    <w:r>
      <w:rPr>
        <w:rStyle w:val="PageNumber"/>
        <w:sz w:val="20"/>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JMHAssignRelease.doc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2001-10-02T18:21:00Z</dcterms:created>
  <dc:creator>jordan, monica</dc:creator>
  <dc:description/>
  <dc:language>en-CA</dc:language>
  <cp:lastModifiedBy>gnemec</cp:lastModifiedBy>
  <cp:lastPrinted>2001-10-02T16:05:00Z</cp:lastPrinted>
  <dcterms:modified xsi:type="dcterms:W3CDTF">2001-10-02T19:10:00Z</dcterms:modified>
  <cp:revision>4</cp:revision>
  <dc:subject/>
  <dc:title>AGREEMENT TO ASSIGN</dc:title>
</cp:coreProperties>
</file>