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ENRON CONFIDENTIAL **</w:t>
      </w:r>
    </w:p>
    <w:p>
      <w:pPr>
        <w:pStyle w:val="Heading"/>
        <w:rPr/>
      </w:pPr>
      <w:r>
        <w:rPr/>
        <w:t>JEFF SKILLING PRESS CLUB PRESENTATION TALKING POINTS</w:t>
      </w:r>
    </w:p>
    <w:p>
      <w:pPr>
        <w:pStyle w:val="Heading"/>
        <w:rPr/>
      </w:pPr>
      <w:r>
        <w:rPr/>
      </w:r>
    </w:p>
    <w:p>
      <w:pPr>
        <w:pStyle w:val="Subtitle"/>
        <w:rPr/>
      </w:pPr>
      <w:r>
        <w:rPr/>
        <w:t>Enron Overview</w:t>
      </w:r>
    </w:p>
    <w:p>
      <w:pPr>
        <w:pStyle w:val="Normal"/>
        <w:rPr/>
      </w:pPr>
      <w:r>
        <w:rPr/>
      </w:r>
    </w:p>
    <w:p>
      <w:pPr>
        <w:pStyle w:val="Normal"/>
        <w:numPr>
          <w:ilvl w:val="0"/>
          <w:numId w:val="22"/>
        </w:numPr>
        <w:rPr/>
      </w:pPr>
      <w:r>
        <w:rPr/>
        <w:t>We are not an “oil company” nor a “utility”</w:t>
      </w:r>
    </w:p>
    <w:p>
      <w:pPr>
        <w:pStyle w:val="Normal"/>
        <w:numPr>
          <w:ilvl w:val="0"/>
          <w:numId w:val="22"/>
        </w:numPr>
        <w:rPr/>
      </w:pPr>
      <w:r>
        <w:rPr/>
        <w:t>We make markets … work</w:t>
      </w:r>
    </w:p>
    <w:p>
      <w:pPr>
        <w:pStyle w:val="Normal"/>
        <w:numPr>
          <w:ilvl w:val="0"/>
          <w:numId w:val="14"/>
        </w:numPr>
        <w:rPr/>
      </w:pPr>
      <w:r>
        <w:rPr/>
        <w:t>Not sector limited</w:t>
      </w:r>
    </w:p>
    <w:p>
      <w:pPr>
        <w:pStyle w:val="Normal"/>
        <w:numPr>
          <w:ilvl w:val="0"/>
          <w:numId w:val="14"/>
        </w:numPr>
        <w:rPr/>
      </w:pPr>
      <w:r>
        <w:rPr/>
        <w:t>We can apply our skills and our business model across many industries (energy, bandwidth, pulp and paper, metals, transportation)</w:t>
      </w:r>
    </w:p>
    <w:p>
      <w:pPr>
        <w:pStyle w:val="Normal"/>
        <w:numPr>
          <w:ilvl w:val="0"/>
          <w:numId w:val="14"/>
        </w:numPr>
        <w:rPr/>
      </w:pPr>
      <w:r>
        <w:rPr/>
        <w:t>Study markets to find out what’s missing.  We add flexibility, choices and speed.</w:t>
      </w:r>
    </w:p>
    <w:p>
      <w:pPr>
        <w:pStyle w:val="Normal"/>
        <w:numPr>
          <w:ilvl w:val="0"/>
          <w:numId w:val="14"/>
        </w:numPr>
        <w:rPr/>
      </w:pPr>
      <w:r>
        <w:rPr/>
        <w:t>Our Networks business and EnronOnline have dramatically accelerated our ability to enter new markets, shortening the cycle time from years to weeks (and even days):</w:t>
      </w:r>
    </w:p>
    <w:p>
      <w:pPr>
        <w:pStyle w:val="Normal"/>
        <w:ind w:start="1440" w:end="0"/>
        <w:rPr/>
      </w:pPr>
      <w:r>
        <w:rPr/>
        <w:t>gas</w:t>
      </w:r>
      <w:r>
        <w:rPr>
          <w:rFonts w:eastAsia="Symbol" w:cs="Symbol" w:ascii="Symbol" w:hAnsi="Symbol"/>
        </w:rPr>
        <w:sym w:font="Symbol" w:char="f0ae"/>
      </w:r>
      <w:r>
        <w:rPr/>
        <w:t>power:  4 years</w:t>
      </w:r>
    </w:p>
    <w:p>
      <w:pPr>
        <w:pStyle w:val="Normal"/>
        <w:ind w:start="1440" w:end="0"/>
        <w:rPr/>
      </w:pPr>
      <w:r>
        <w:rPr/>
        <w:t>bandwidth, metals, etc:  this year</w:t>
      </w:r>
    </w:p>
    <w:p>
      <w:pPr>
        <w:pStyle w:val="Normal"/>
        <w:numPr>
          <w:ilvl w:val="0"/>
          <w:numId w:val="15"/>
        </w:numPr>
        <w:rPr/>
      </w:pPr>
      <w:r>
        <w:rPr/>
        <w:t>We are now making markets in over 1,000 products, 20 commodities, 13 currencies</w:t>
      </w:r>
    </w:p>
    <w:p>
      <w:pPr>
        <w:pStyle w:val="Normal"/>
        <w:ind w:start="360" w:end="0"/>
        <w:rPr/>
      </w:pPr>
      <w:r>
        <w:rPr/>
      </w:r>
    </w:p>
    <w:p>
      <w:pPr>
        <w:pStyle w:val="Heading1"/>
        <w:ind w:hanging="0" w:start="0"/>
        <w:rPr/>
      </w:pPr>
      <w:r>
        <w:rPr/>
        <w:t>Transition</w:t>
      </w:r>
    </w:p>
    <w:p>
      <w:pPr>
        <w:pStyle w:val="Normal"/>
        <w:rPr/>
      </w:pPr>
      <w:r>
        <w:rPr/>
      </w:r>
    </w:p>
    <w:p>
      <w:pPr>
        <w:pStyle w:val="Normal"/>
        <w:numPr>
          <w:ilvl w:val="0"/>
          <w:numId w:val="16"/>
        </w:numPr>
        <w:rPr/>
      </w:pPr>
      <w:r>
        <w:rPr/>
        <w:t>Of all the markets we participate in, US power is the least competitive</w:t>
      </w:r>
    </w:p>
    <w:p>
      <w:pPr>
        <w:pStyle w:val="Normal"/>
        <w:numPr>
          <w:ilvl w:val="0"/>
          <w:numId w:val="16"/>
        </w:numPr>
        <w:rPr/>
      </w:pPr>
      <w:r>
        <w:rPr/>
        <w:t>Understand Enron’s perspective:  we are neither a net generator nor a net user of power.  We are in the business of making markets and making them work better.  So, while generators and end users and politicians are finding blame, our focus is on finding solutions which will make power markets work.</w:t>
      </w:r>
    </w:p>
    <w:p>
      <w:pPr>
        <w:pStyle w:val="Normal"/>
        <w:rPr/>
      </w:pPr>
      <w:r>
        <w:rPr/>
      </w:r>
    </w:p>
    <w:p>
      <w:pPr>
        <w:pStyle w:val="Heading1"/>
        <w:ind w:hanging="0" w:start="0"/>
        <w:rPr/>
      </w:pPr>
      <w:r>
        <w:rPr/>
        <w:t>U.S. Power Markets</w:t>
      </w:r>
    </w:p>
    <w:p>
      <w:pPr>
        <w:pStyle w:val="Normal"/>
        <w:rPr/>
      </w:pPr>
      <w:r>
        <w:rPr/>
      </w:r>
    </w:p>
    <w:p>
      <w:pPr>
        <w:pStyle w:val="Normal"/>
        <w:numPr>
          <w:ilvl w:val="0"/>
          <w:numId w:val="12"/>
        </w:numPr>
        <w:rPr/>
      </w:pPr>
      <w:r>
        <w:rPr/>
        <w:t>“</w:t>
      </w:r>
      <w:r>
        <w:rPr/>
        <w:t>The US power industry is heading for disaster”.</w:t>
      </w:r>
    </w:p>
    <w:p>
      <w:pPr>
        <w:pStyle w:val="Normal"/>
        <w:numPr>
          <w:ilvl w:val="0"/>
          <w:numId w:val="3"/>
        </w:numPr>
        <w:rPr/>
      </w:pPr>
      <w:r>
        <w:rPr/>
        <w:t>Reliable, affordable and predictably priced power are essential to our economy, its continued expansion and our way of life.</w:t>
      </w:r>
    </w:p>
    <w:p>
      <w:pPr>
        <w:pStyle w:val="Normal"/>
        <w:numPr>
          <w:ilvl w:val="0"/>
          <w:numId w:val="3"/>
        </w:numPr>
        <w:rPr/>
      </w:pPr>
      <w:r>
        <w:rPr/>
        <w:t>Our booming economy has continued to raise demand for power at twice the rate most people predicted</w:t>
      </w:r>
      <w:r>
        <w:br w:type="page"/>
      </w:r>
    </w:p>
    <w:p>
      <w:pPr>
        <w:pStyle w:val="Normal"/>
        <w:numPr>
          <w:ilvl w:val="0"/>
          <w:numId w:val="3"/>
        </w:numPr>
        <w:rPr/>
      </w:pPr>
      <w:r>
        <w:rPr/>
        <w:t>Our “new economy” is especially dependent on electricity.</w:t>
      </w:r>
    </w:p>
    <w:p>
      <w:pPr>
        <w:pStyle w:val="Normal"/>
        <w:rPr/>
      </w:pPr>
      <w:r>
        <w:rPr/>
      </w:r>
    </w:p>
    <w:p>
      <w:pPr>
        <w:pStyle w:val="Normal"/>
        <w:numPr>
          <w:ilvl w:val="0"/>
          <w:numId w:val="17"/>
        </w:numPr>
        <w:rPr/>
      </w:pPr>
      <w:r>
        <w:rPr/>
        <w:t>8% of consumption now relates directly to the internet</w:t>
      </w:r>
    </w:p>
    <w:p>
      <w:pPr>
        <w:pStyle w:val="Normal"/>
        <w:numPr>
          <w:ilvl w:val="0"/>
          <w:numId w:val="17"/>
        </w:numPr>
        <w:rPr/>
      </w:pPr>
      <w:r>
        <w:rPr/>
        <w:t>40% of the growth in consumption can be tied to the internet.</w:t>
      </w:r>
    </w:p>
    <w:p>
      <w:pPr>
        <w:pStyle w:val="Normal"/>
        <w:ind w:start="360" w:end="0"/>
        <w:rPr>
          <w:b/>
          <w:bCs/>
        </w:rPr>
      </w:pPr>
      <w:r>
        <w:rPr>
          <w:b/>
          <w:bCs/>
        </w:rPr>
      </w:r>
    </w:p>
    <w:p>
      <w:pPr>
        <w:pStyle w:val="Normal"/>
        <w:numPr>
          <w:ilvl w:val="0"/>
          <w:numId w:val="3"/>
        </w:numPr>
        <w:rPr/>
      </w:pPr>
      <w:r>
        <w:rPr/>
        <w:t>This 21st century economy is straining under a 19th century electric industry</w:t>
      </w:r>
    </w:p>
    <w:p>
      <w:pPr>
        <w:pStyle w:val="Normal"/>
        <w:numPr>
          <w:ilvl w:val="0"/>
          <w:numId w:val="4"/>
        </w:numPr>
        <w:rPr/>
      </w:pPr>
      <w:r>
        <w:rPr/>
        <w:t>new technologies which can manage demand and increase reliability stay on laboratory shelves because the regulated monopoly structure keeps them there.</w:t>
      </w:r>
    </w:p>
    <w:p>
      <w:pPr>
        <w:pStyle w:val="Normal"/>
        <w:numPr>
          <w:ilvl w:val="0"/>
          <w:numId w:val="4"/>
        </w:numPr>
        <w:rPr/>
      </w:pPr>
      <w:r>
        <w:rPr/>
        <w:t>while demand is increasing, reserve margins are declining, and interruptions on the transmission system and blackout and brownouts are increasing.</w:t>
      </w:r>
    </w:p>
    <w:p>
      <w:pPr>
        <w:pStyle w:val="Normal"/>
        <w:numPr>
          <w:ilvl w:val="0"/>
          <w:numId w:val="4"/>
        </w:numPr>
        <w:rPr/>
      </w:pPr>
      <w:r>
        <w:rPr/>
        <w:t>meanwhile, our politicians and regulators are either not taking action, or taking action which exacerbates the existing problems</w:t>
      </w:r>
    </w:p>
    <w:p>
      <w:pPr>
        <w:pStyle w:val="Normal"/>
        <w:ind w:start="720" w:end="0"/>
        <w:rPr/>
      </w:pPr>
      <w:r>
        <w:rPr/>
      </w:r>
    </w:p>
    <w:p>
      <w:pPr>
        <w:pStyle w:val="Normal"/>
        <w:numPr>
          <w:ilvl w:val="0"/>
          <w:numId w:val="12"/>
        </w:numPr>
        <w:rPr/>
      </w:pPr>
      <w:r>
        <w:rPr/>
        <w:t>There is no more pressing economic issue facing this country today.</w:t>
      </w:r>
    </w:p>
    <w:p>
      <w:pPr>
        <w:pStyle w:val="Normal"/>
        <w:numPr>
          <w:ilvl w:val="0"/>
          <w:numId w:val="19"/>
        </w:numPr>
        <w:rPr/>
      </w:pPr>
      <w:r>
        <w:rPr/>
        <w:t>while we are focusing our attention on tax cuts and what to do with the budget surplus, a crisis is looming</w:t>
      </w:r>
    </w:p>
    <w:p>
      <w:pPr>
        <w:pStyle w:val="Normal"/>
        <w:numPr>
          <w:ilvl w:val="0"/>
          <w:numId w:val="19"/>
        </w:numPr>
        <w:rPr/>
      </w:pPr>
      <w:r>
        <w:rPr/>
        <w:t>our economy’s growth will be crushed if we don’t fix our electric industry.</w:t>
      </w:r>
    </w:p>
    <w:p>
      <w:pPr>
        <w:pStyle w:val="Normal"/>
        <w:rPr/>
      </w:pPr>
      <w:r>
        <w:rPr/>
      </w:r>
    </w:p>
    <w:p>
      <w:pPr>
        <w:pStyle w:val="Normal"/>
        <w:rPr/>
      </w:pPr>
      <w:r>
        <w:rPr/>
      </w:r>
    </w:p>
    <w:p>
      <w:pPr>
        <w:pStyle w:val="Normal"/>
        <w:numPr>
          <w:ilvl w:val="0"/>
          <w:numId w:val="5"/>
        </w:numPr>
        <w:rPr>
          <w:b/>
          <w:bCs/>
        </w:rPr>
      </w:pPr>
      <w:r>
        <w:rPr>
          <w:b/>
          <w:bCs/>
        </w:rPr>
        <w:t>California is just a preview</w:t>
      </w:r>
    </w:p>
    <w:p>
      <w:pPr>
        <w:pStyle w:val="Normal"/>
        <w:numPr>
          <w:ilvl w:val="0"/>
          <w:numId w:val="9"/>
        </w:numPr>
        <w:rPr/>
      </w:pPr>
      <w:r>
        <w:rPr/>
        <w:t>demand grows</w:t>
      </w:r>
    </w:p>
    <w:p>
      <w:pPr>
        <w:pStyle w:val="Normal"/>
        <w:numPr>
          <w:ilvl w:val="0"/>
          <w:numId w:val="9"/>
        </w:numPr>
        <w:rPr/>
      </w:pPr>
      <w:r>
        <w:rPr/>
        <w:t>shortages ensue</w:t>
      </w:r>
    </w:p>
    <w:p>
      <w:pPr>
        <w:pStyle w:val="Normal"/>
        <w:numPr>
          <w:ilvl w:val="0"/>
          <w:numId w:val="9"/>
        </w:numPr>
        <w:rPr/>
      </w:pPr>
      <w:r>
        <w:rPr/>
        <w:t>political “fixes” make things worse</w:t>
      </w:r>
    </w:p>
    <w:p>
      <w:pPr>
        <w:pStyle w:val="Normal"/>
        <w:numPr>
          <w:ilvl w:val="0"/>
          <w:numId w:val="18"/>
        </w:numPr>
        <w:rPr/>
      </w:pPr>
      <w:r>
        <w:rPr/>
        <w:t>price caps in wholesale markets</w:t>
      </w:r>
    </w:p>
    <w:p>
      <w:pPr>
        <w:pStyle w:val="Normal"/>
        <w:numPr>
          <w:ilvl w:val="0"/>
          <w:numId w:val="18"/>
        </w:numPr>
        <w:rPr>
          <w:b/>
          <w:bCs/>
        </w:rPr>
      </w:pPr>
      <w:r>
        <w:rPr/>
        <w:t>failure to permit new plants.</w:t>
      </w:r>
    </w:p>
    <w:p>
      <w:pPr>
        <w:pStyle w:val="Normal"/>
        <w:rPr>
          <w:b/>
          <w:bCs/>
        </w:rPr>
      </w:pPr>
      <w:r>
        <w:rPr>
          <w:b/>
          <w:bCs/>
        </w:rPr>
      </w:r>
    </w:p>
    <w:p>
      <w:pPr>
        <w:pStyle w:val="Normal"/>
        <w:numPr>
          <w:ilvl w:val="0"/>
          <w:numId w:val="20"/>
        </w:numPr>
        <w:rPr>
          <w:b/>
          <w:bCs/>
        </w:rPr>
      </w:pPr>
      <w:r>
        <w:rPr>
          <w:b/>
          <w:bCs/>
        </w:rPr>
        <w:t>We need action now</w:t>
      </w:r>
    </w:p>
    <w:p>
      <w:pPr>
        <w:pStyle w:val="Normal"/>
        <w:numPr>
          <w:ilvl w:val="0"/>
          <w:numId w:val="21"/>
        </w:numPr>
        <w:rPr/>
      </w:pPr>
      <w:r>
        <w:rPr>
          <w:b/>
          <w:bCs/>
        </w:rPr>
        <w:t>You can’t build a power plant in a day</w:t>
      </w:r>
      <w:r>
        <w:rPr/>
        <w:t>.  We need policy changes now to have solutions in time.</w:t>
      </w:r>
    </w:p>
    <w:p>
      <w:pPr>
        <w:pStyle w:val="Normal"/>
        <w:rPr/>
      </w:pPr>
      <w:r>
        <w:rPr/>
      </w:r>
    </w:p>
    <w:p>
      <w:pPr>
        <w:pStyle w:val="Normal"/>
        <w:numPr>
          <w:ilvl w:val="0"/>
          <w:numId w:val="21"/>
        </w:numPr>
        <w:rPr>
          <w:b/>
          <w:bCs/>
        </w:rPr>
      </w:pPr>
      <w:r>
        <w:rPr>
          <w:b/>
          <w:bCs/>
        </w:rPr>
        <w:t>The solutions are already known and have been known for years.</w:t>
      </w:r>
    </w:p>
    <w:p>
      <w:pPr>
        <w:pStyle w:val="Normal"/>
        <w:numPr>
          <w:ilvl w:val="0"/>
          <w:numId w:val="13"/>
        </w:numPr>
        <w:rPr/>
      </w:pPr>
      <w:r>
        <w:rPr/>
        <w:t>Congress has been considering this issue since 1992.</w:t>
      </w:r>
    </w:p>
    <w:p>
      <w:pPr>
        <w:pStyle w:val="Normal"/>
        <w:numPr>
          <w:ilvl w:val="0"/>
          <w:numId w:val="13"/>
        </w:numPr>
        <w:rPr/>
      </w:pPr>
      <w:r>
        <w:rPr/>
        <w:t xml:space="preserve">FERC has known the real answer since they issued their </w:t>
      </w:r>
      <w:r>
        <w:rPr>
          <w:u w:val="single"/>
        </w:rPr>
        <w:t>partia</w:t>
      </w:r>
      <w:r>
        <w:rPr/>
        <w:t>l answer in 1996 (Order 888)</w:t>
      </w:r>
    </w:p>
    <w:p>
      <w:pPr>
        <w:pStyle w:val="Normal"/>
        <w:numPr>
          <w:ilvl w:val="0"/>
          <w:numId w:val="13"/>
        </w:numPr>
        <w:rPr/>
      </w:pPr>
      <w:r>
        <w:rPr/>
        <w:t>Our political leaders and regulators have been moving slowly to not alienate the powerful utilities who still oppose open markets</w:t>
      </w:r>
    </w:p>
    <w:p>
      <w:pPr>
        <w:pStyle w:val="Normal"/>
        <w:rPr/>
      </w:pPr>
      <w:r>
        <w:rPr/>
      </w:r>
    </w:p>
    <w:p>
      <w:pPr>
        <w:pStyle w:val="Normal"/>
        <w:numPr>
          <w:ilvl w:val="0"/>
          <w:numId w:val="11"/>
        </w:numPr>
        <w:rPr>
          <w:b/>
          <w:bCs/>
        </w:rPr>
      </w:pPr>
      <w:r>
        <w:rPr>
          <w:b/>
          <w:bCs/>
        </w:rPr>
        <w:t>We need to remove the restrictions that keep companies and individuals from solving these problems.</w:t>
      </w:r>
    </w:p>
    <w:p>
      <w:pPr>
        <w:pStyle w:val="Normal"/>
        <w:rPr>
          <w:b/>
          <w:bCs/>
        </w:rPr>
      </w:pPr>
      <w:r>
        <w:rPr>
          <w:b/>
          <w:bCs/>
        </w:rPr>
      </w:r>
    </w:p>
    <w:p>
      <w:pPr>
        <w:pStyle w:val="Normal"/>
        <w:numPr>
          <w:ilvl w:val="0"/>
          <w:numId w:val="7"/>
        </w:numPr>
        <w:rPr/>
      </w:pPr>
      <w:r>
        <w:rPr>
          <w:b/>
          <w:bCs/>
        </w:rPr>
        <w:t>“</w:t>
      </w:r>
      <w:r>
        <w:rPr>
          <w:b/>
          <w:bCs/>
        </w:rPr>
        <w:t>We need to get power from from where it is to where it’s needed”.</w:t>
      </w:r>
      <w:r>
        <w:rPr/>
        <w:t xml:space="preserve">  We need FERC to finish opening the transmission system.</w:t>
      </w:r>
    </w:p>
    <w:p>
      <w:pPr>
        <w:pStyle w:val="Normal"/>
        <w:numPr>
          <w:ilvl w:val="0"/>
          <w:numId w:val="7"/>
        </w:numPr>
        <w:rPr/>
      </w:pPr>
      <w:r>
        <w:rPr>
          <w:b/>
          <w:bCs/>
        </w:rPr>
        <w:t xml:space="preserve">We need to get plants built </w:t>
      </w:r>
      <w:r>
        <w:rPr>
          <w:b/>
          <w:bCs/>
          <w:u w:val="single"/>
        </w:rPr>
        <w:t>and</w:t>
      </w:r>
      <w:r>
        <w:rPr>
          <w:b/>
          <w:bCs/>
        </w:rPr>
        <w:t xml:space="preserve"> connected.</w:t>
      </w:r>
      <w:r>
        <w:rPr/>
        <w:t>”  Siting authorities need to streamline their process and FERC needs to supervise the interconnection process to get these plants on the grid.</w:t>
      </w:r>
    </w:p>
    <w:p>
      <w:pPr>
        <w:pStyle w:val="Normal"/>
        <w:numPr>
          <w:ilvl w:val="0"/>
          <w:numId w:val="7"/>
        </w:numPr>
        <w:rPr/>
      </w:pPr>
      <w:r>
        <w:rPr>
          <w:b/>
          <w:bCs/>
        </w:rPr>
        <w:t>Choice.</w:t>
      </w:r>
      <w:r>
        <w:rPr/>
        <w:t xml:space="preserve">  Our customers are doing great:  they signed up with us, got a fixed price, we hedged the supply… our customers and shareholders are doing great.  Customers must have the ability to “fire” their utility.  If they do, we’ll work on the demand side as well as the supply side.</w:t>
      </w:r>
    </w:p>
    <w:p>
      <w:pPr>
        <w:pStyle w:val="Normal"/>
        <w:ind w:start="1440" w:end="0"/>
        <w:rPr/>
      </w:pPr>
      <w:r>
        <w:rPr/>
        <w:t>{example:  New England paper company --  we paid them to take the day off when prices hit $6000/MWh}</w:t>
      </w:r>
    </w:p>
    <w:p>
      <w:pPr>
        <w:pStyle w:val="Normal"/>
        <w:rPr/>
      </w:pPr>
      <w:r>
        <w:rPr/>
      </w:r>
    </w:p>
    <w:p>
      <w:pPr>
        <w:pStyle w:val="Normal"/>
        <w:rPr/>
      </w:pPr>
      <w:r>
        <w:rPr/>
      </w:r>
    </w:p>
    <w:p>
      <w:pPr>
        <w:pStyle w:val="Normal"/>
        <w:numPr>
          <w:ilvl w:val="0"/>
          <w:numId w:val="11"/>
        </w:numPr>
        <w:rPr/>
      </w:pPr>
      <w:r>
        <w:rPr/>
        <w:t>These are not new ideas.  Policy makers have known for years what needs to be done.  And many utilities are now firmly behind it.  So what are we waiting for?</w:t>
      </w:r>
    </w:p>
    <w:p>
      <w:pPr>
        <w:pStyle w:val="Normal"/>
        <w:rPr/>
      </w:pPr>
      <w:r>
        <w:rPr/>
      </w:r>
    </w:p>
    <w:p>
      <w:pPr>
        <w:pStyle w:val="Normal"/>
        <w:numPr>
          <w:ilvl w:val="0"/>
          <w:numId w:val="8"/>
        </w:numPr>
        <w:rPr/>
      </w:pPr>
      <w:r>
        <w:rPr/>
        <w:t>FERC has known for over five years what the right answers are.  They acknowledged in ’96 when they issued 888 that it may not have gone for enough.</w:t>
      </w:r>
    </w:p>
    <w:p>
      <w:pPr>
        <w:pStyle w:val="Normal"/>
        <w:numPr>
          <w:ilvl w:val="0"/>
          <w:numId w:val="8"/>
        </w:numPr>
        <w:rPr/>
      </w:pPr>
      <w:r>
        <w:rPr/>
        <w:t>Since then dozens of companies have produced mounds of evidence that the current system doesn’t work… that it leaves wholesale markets in the control of deregulated monopolies.</w:t>
      </w:r>
    </w:p>
    <w:p>
      <w:pPr>
        <w:pStyle w:val="Normal"/>
        <w:numPr>
          <w:ilvl w:val="0"/>
          <w:numId w:val="8"/>
        </w:numPr>
        <w:rPr/>
      </w:pPr>
      <w:r>
        <w:rPr/>
        <w:t>So what have they done?   They are asking utilities to voluntarily give up market power.</w:t>
      </w:r>
    </w:p>
    <w:p>
      <w:pPr>
        <w:pStyle w:val="Normal"/>
        <w:numPr>
          <w:ilvl w:val="0"/>
          <w:numId w:val="8"/>
        </w:numPr>
        <w:rPr/>
      </w:pPr>
      <w:r>
        <w:rPr/>
        <w:t>Before blaming it all on FERC though, we have to ask what Congress is doing to provide air cover for the Commission.  They need to encourage (and demand) that FERC acts now.  [under the D.C. Circuit decision FERC has the power, now they need to use it.]</w:t>
      </w:r>
    </w:p>
    <w:p>
      <w:pPr>
        <w:pStyle w:val="Normal"/>
        <w:rPr/>
      </w:pPr>
      <w:r>
        <w:rPr/>
      </w:r>
    </w:p>
    <w:p>
      <w:pPr>
        <w:pStyle w:val="Normal"/>
        <w:numPr>
          <w:ilvl w:val="0"/>
          <w:numId w:val="10"/>
        </w:numPr>
        <w:rPr/>
      </w:pPr>
      <w:r>
        <w:rPr/>
        <w:t>The utilities know what the right answers are and several have even joined us in calling for those answers.  It’s time to rollover the remaining dissenters and do what needs to be done.</w:t>
      </w:r>
    </w:p>
    <w:p>
      <w:pPr>
        <w:pStyle w:val="Normal"/>
        <w:numPr>
          <w:ilvl w:val="0"/>
          <w:numId w:val="6"/>
        </w:numPr>
        <w:rPr/>
      </w:pPr>
      <w:r>
        <w:rPr/>
        <w:t>Let me give you an example to illustrate why it’s no longer time for consensus building and why it’s time to stop asking the Edison Electric Institute for its permission before we do what needs to be done:</w:t>
      </w:r>
    </w:p>
    <w:p>
      <w:pPr>
        <w:pStyle w:val="Normal"/>
        <w:numPr>
          <w:ilvl w:val="1"/>
          <w:numId w:val="6"/>
        </w:numPr>
        <w:rPr/>
      </w:pPr>
      <w:r>
        <w:rPr/>
        <w:t>In an effort to save taxpayers money and to provide better more reliable service (and a better quality of life) for our soldiers and their families, the Department of Defense has launched a program to privatize its energy facilities.  The military recognized that it’s in the business of defending the country and the private sector can do a better job of taking care of their energy needs.</w:t>
      </w:r>
    </w:p>
    <w:p>
      <w:pPr>
        <w:pStyle w:val="Normal"/>
        <w:numPr>
          <w:ilvl w:val="1"/>
          <w:numId w:val="6"/>
        </w:numPr>
        <w:rPr/>
      </w:pPr>
      <w:r>
        <w:rPr/>
        <w:t>Utilities are now asserting that DOD can’t choose, that it can only sell its facilities to the local utility.  Let’s be clear—this is not about selling power.  States still determine whether there is choice in power supply.  This is an attempt to extend the franchise behind the walls of our military facilities.  This is like your local utility saying:  I own the wires in your house.  If you want them fixed you deal with me at the price I say.</w:t>
      </w:r>
    </w:p>
    <w:p>
      <w:pPr>
        <w:pStyle w:val="Normal"/>
        <w:rPr>
          <w:b/>
          <w:bCs/>
        </w:rPr>
      </w:pPr>
      <w:r>
        <w:rPr>
          <w:b/>
          <w:bCs/>
        </w:rPr>
      </w:r>
    </w:p>
    <w:p>
      <w:pPr>
        <w:pStyle w:val="Normal"/>
        <w:numPr>
          <w:ilvl w:val="0"/>
          <w:numId w:val="2"/>
        </w:numPr>
        <w:rPr>
          <w:b/>
          <w:bCs/>
        </w:rPr>
      </w:pPr>
      <w:r>
        <w:rPr>
          <w:b/>
          <w:bCs/>
        </w:rPr>
        <w:t>We have to stop asking utilities’ permission and start fixing the problem.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color w:val="000000"/>
      </w:rPr>
    </w:lvl>
  </w:abstractNum>
  <w:abstractNum w:abstractNumId="5">
    <w:lvl w:ilvl="0">
      <w:start w:val="1"/>
      <w:numFmt w:val="bullet"/>
      <w:lvlText w:val=""/>
      <w:lvlJc w:val="start"/>
      <w:pPr>
        <w:tabs>
          <w:tab w:val="num" w:pos="360"/>
        </w:tabs>
        <w:ind w:start="360" w:hanging="360"/>
      </w:pPr>
      <w:rPr>
        <w:rFonts w:ascii="Symbol" w:hAnsi="Symbol" w:cs="Symbol" w:hint="default"/>
        <w:color w:val="000000"/>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color w:val="000000"/>
      </w:rPr>
    </w:lvl>
  </w:abstractNum>
  <w:abstractNum w:abstractNumId="11">
    <w:lvl w:ilvl="0">
      <w:start w:val="1"/>
      <w:numFmt w:val="bullet"/>
      <w:lvlText w:val=""/>
      <w:lvlJc w:val="start"/>
      <w:pPr>
        <w:tabs>
          <w:tab w:val="num" w:pos="360"/>
        </w:tabs>
        <w:ind w:start="360" w:hanging="360"/>
      </w:pPr>
      <w:rPr>
        <w:rFonts w:ascii="Symbol" w:hAnsi="Symbol" w:cs="Symbol" w:hint="default"/>
        <w:color w:val="000000"/>
      </w:rPr>
    </w:lvl>
  </w:abstractNum>
  <w:abstractNum w:abstractNumId="12">
    <w:lvl w:ilvl="0">
      <w:start w:val="1"/>
      <w:numFmt w:val="bullet"/>
      <w:lvlText w:val=""/>
      <w:lvlJc w:val="start"/>
      <w:pPr>
        <w:tabs>
          <w:tab w:val="num" w:pos="360"/>
        </w:tabs>
        <w:ind w:start="360" w:hanging="360"/>
      </w:pPr>
      <w:rPr>
        <w:rFonts w:ascii="Symbol" w:hAnsi="Symbol" w:cs="Symbol" w:hint="default"/>
        <w:color w:val="000000"/>
      </w:rPr>
    </w:lvl>
  </w:abstractNum>
  <w:abstractNum w:abstractNumId="13">
    <w:lvl w:ilvl="0">
      <w:start w:val="1"/>
      <w:numFmt w:val="bullet"/>
      <w:lvlText w:val=""/>
      <w:lvlJc w:val="start"/>
      <w:pPr>
        <w:tabs>
          <w:tab w:val="num" w:pos="1440"/>
        </w:tabs>
        <w:ind w:start="1440" w:hanging="360"/>
      </w:pPr>
      <w:rPr>
        <w:rFonts w:ascii="Symbol" w:hAnsi="Symbol" w:cs="Symbol" w:hint="default"/>
        <w:color w:val="000000"/>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color w:val="000000"/>
      </w:rPr>
    </w:lvl>
  </w:abstractNum>
  <w:abstractNum w:abstractNumId="17">
    <w:lvl w:ilvl="0">
      <w:start w:val="1"/>
      <w:numFmt w:val="bullet"/>
      <w:lvlText w:val=""/>
      <w:lvlJc w:val="start"/>
      <w:pPr>
        <w:tabs>
          <w:tab w:val="num" w:pos="1080"/>
        </w:tabs>
        <w:ind w:start="1080" w:hanging="360"/>
      </w:pPr>
      <w:rPr>
        <w:rFonts w:ascii="Symbol" w:hAnsi="Symbol" w:cs="Symbol" w:hint="default"/>
        <w:color w:val="000000"/>
      </w:rPr>
    </w:lvl>
  </w:abstractNum>
  <w:abstractNum w:abstractNumId="18">
    <w:lvl w:ilvl="0">
      <w:start w:val="1"/>
      <w:numFmt w:val="bullet"/>
      <w:lvlText w:val=""/>
      <w:lvlJc w:val="start"/>
      <w:pPr>
        <w:tabs>
          <w:tab w:val="num" w:pos="1440"/>
        </w:tabs>
        <w:ind w:start="1440" w:hanging="360"/>
      </w:pPr>
      <w:rPr>
        <w:rFonts w:ascii="Symbol" w:hAnsi="Symbol" w:cs="Symbol" w:hint="default"/>
        <w:color w:val="000000"/>
      </w:rPr>
    </w:lvl>
  </w:abstractNum>
  <w:abstractNum w:abstractNumId="19">
    <w:lvl w:ilvl="0">
      <w:start w:val="1"/>
      <w:numFmt w:val="bullet"/>
      <w:lvlText w:val=""/>
      <w:lvlJc w:val="start"/>
      <w:pPr>
        <w:tabs>
          <w:tab w:val="num" w:pos="1080"/>
        </w:tabs>
        <w:ind w:start="108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000000"/>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Symbol" w:hAnsi="Symbol" w:cs="Symbol"/>
      <w:color w:val="000000"/>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Symbol" w:hAnsi="Symbol" w:cs="Symbol"/>
      <w:color w:val="000000"/>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3">
    <w:name w:val="WW8Num11z3"/>
    <w:qFormat/>
    <w:rPr>
      <w:rFonts w:ascii="Symbol" w:hAnsi="Symbol" w:cs="Symbol"/>
      <w:color w:val="000000"/>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000000"/>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color w:val="000000"/>
    </w:rPr>
  </w:style>
  <w:style w:type="character" w:styleId="WW8Num13z1">
    <w:name w:val="WW8Num13z1"/>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Symbol" w:hAnsi="Symbol" w:cs="Symbol"/>
      <w:color w:val="000000"/>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00000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000000"/>
    </w:rPr>
  </w:style>
  <w:style w:type="character" w:styleId="WW8Num25z1">
    <w:name w:val="WW8Num25z1"/>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6z1">
    <w:name w:val="WW8Num26z1"/>
    <w:qFormat/>
    <w:rPr>
      <w:rFonts w:ascii="Symbol" w:hAnsi="Symbol" w:cs="Symbol"/>
      <w:color w:val="000000"/>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color w:val="000000"/>
    </w:rPr>
  </w:style>
  <w:style w:type="character" w:styleId="WW8Num27z1">
    <w:name w:val="WW8Num27z1"/>
    <w:qFormat/>
    <w:rPr>
      <w:rFonts w:ascii="Symbol" w:hAnsi="Symbol" w:cs="Symbol"/>
    </w:rPr>
  </w:style>
  <w:style w:type="character" w:styleId="WW8Num27z2">
    <w:name w:val="WW8Num27z2"/>
    <w:qFormat/>
    <w:rPr>
      <w:rFonts w:ascii="Wingdings" w:hAnsi="Wingdings" w:cs="Wingdings"/>
    </w:rPr>
  </w:style>
  <w:style w:type="character" w:styleId="WW8Num27z4">
    <w:name w:val="WW8Num27z4"/>
    <w:qFormat/>
    <w:rPr>
      <w:rFonts w:ascii="Courier New" w:hAnsi="Courier New" w:cs="Courier New"/>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2000-09-14T10:30:00Z</dcterms:created>
  <dc:creator>mmcvick</dc:creator>
  <dc:description/>
  <dc:language>en-CA</dc:language>
  <cp:lastModifiedBy>elinnell</cp:lastModifiedBy>
  <cp:lastPrinted>2000-09-05T10:20:00Z</cp:lastPrinted>
  <dcterms:modified xsi:type="dcterms:W3CDTF">2000-09-14T13:10:00Z</dcterms:modified>
  <cp:revision>4</cp:revision>
  <dc:subject/>
  <dc:title>PRESENTATION</dc:title>
</cp:coreProperties>
</file>