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6"/>
        </w:rPr>
        <w:tab/>
        <w:tab/>
        <w:tab/>
      </w:r>
      <w:r>
        <w:rPr>
          <w:rFonts w:ascii="Times New Roman" w:hAnsi="Times New Roman"/>
          <w:b/>
          <w:sz w:val="40"/>
        </w:rPr>
        <w:t>Paul L. Bryan Mineral Trust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ab/>
        <w:tab/>
        <w:t xml:space="preserve">                      Richard H. Bryan, Trustee      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ab/>
        <w:tab/>
        <w:t>    6110 Barfield Road    Atlanta, GA 30328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ab/>
        <w:tab/>
        <w:t xml:space="preserve"> Tel:    404 252 7748          Fax:    404 252 7748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ab/>
        <w:tab/>
        <w:t xml:space="preserve">          Email: </w:t>
      </w:r>
      <w:hyperlink r:id="rId2">
        <w:r>
          <w:rPr>
            <w:rStyle w:val="Style9"/>
            <w:rFonts w:ascii="Times New Roman" w:hAnsi="Times New Roman"/>
            <w:color w:val="0000FF"/>
            <w:sz w:val="24"/>
            <w:u w:val="single"/>
          </w:rPr>
          <w:t>bryan6110@email.msn.com</w:t>
        </w:r>
      </w:hyperlink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To: John Hodge, Enron                                      Sent by fax to: 713 646 8453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From: Dick Bryan                                                        9 November 2001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I am attaching the confirmation that I received by fax a few minutes ago.    Since it does not deal with the fact that this was purchased as West Virginia production, I am sending this fax to make it simple for you to confirm that this is West Virginia production.    Also, the price of $3.61 was changed from $3.58 to reflect the fact that this gas is scheduled in a manner other than 143 dth/day.    The designated quantity on the confirmation indicates 143 dth/day. 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If you or some appropriate person would fill in the blank below and sign on the signature line and send this to me by return fax, it would be greatly appreciated.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  <w:t>Enron certifies that the gas delivered will be 100% West Virginia production.    The TCO pool, that contains only WV gas, from which the gas is scheduled is      _________________________________________________________________.</w:t>
      </w:r>
    </w:p>
    <w:p>
      <w:pPr>
        <w:pStyle w:val="Normal"/>
        <w:bidi w:val="0"/>
        <w:jc w:val="start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It is understood that the price of $3.61 per dth reflects the fact that this gas will be scheduled other than an even 143 dth/day.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Signature                                                                                                              Date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Title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Sincerely,</w:t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Richard H. Bryan 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080" w:right="1080" w:gutter="0" w:header="0" w:top="1080" w:footer="1440" w:bottom="149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49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1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49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1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SYSHYPERTEXT">
    <w:name w:val="SYS_HYPERTEXT"/>
    <w:qFormat/>
    <w:rPr>
      <w:color w:val="0000FF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ryan6110@email.msn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