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cs="Arial"/>
          <w:sz w:val="18"/>
        </w:rPr>
      </w:pPr>
      <w:r>
        <w:rPr>
          <w:rFonts w:cs="Arial"/>
          <w:sz w:val="18"/>
        </w:rPr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rFonts w:cs="Arial"/>
          <w:sz w:val="18"/>
        </w:rPr>
      </w:pPr>
      <w:r>
        <w:rPr>
          <w:rFonts w:cs="Arial"/>
          <w:sz w:val="18"/>
        </w:rPr>
      </w:r>
    </w:p>
    <w:p>
      <w:pPr>
        <w:pStyle w:val="Heading"/>
        <w:rPr>
          <w:rFonts w:cs="Arial"/>
          <w:sz w:val="18"/>
        </w:rPr>
      </w:pPr>
      <w:r>
        <w:rPr>
          <w:rFonts w:cs="Arial"/>
          <w:sz w:val="18"/>
        </w:rPr>
      </w:r>
    </w:p>
    <w:tbl>
      <w:tblPr>
        <w:tblW w:w="9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5040"/>
        <w:gridCol w:w="1260"/>
        <w:gridCol w:w="2214"/>
      </w:tblGrid>
      <w:tr>
        <w:trPr/>
        <w:tc>
          <w:tcPr>
            <w:tcW w:w="100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To:</w:t>
            </w:r>
          </w:p>
        </w:tc>
        <w:tc>
          <w:tcPr>
            <w:tcW w:w="5040" w:type="dxa"/>
            <w:tcBorders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Jim Fallon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Cc:</w:t>
            </w:r>
          </w:p>
        </w:tc>
        <w:tc>
          <w:tcPr>
            <w:tcW w:w="5040" w:type="dxa"/>
            <w:tcBorders/>
          </w:tcPr>
          <w:p>
            <w:pPr>
              <w:pStyle w:val="Subject"/>
              <w:overflowPunct w:val="true"/>
              <w:autoSpaceDE w:val="true"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Ray Bowen, Jeff McMahon, Louise Kitchen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From:</w:t>
            </w:r>
          </w:p>
        </w:tc>
        <w:tc>
          <w:tcPr>
            <w:tcW w:w="5040" w:type="dxa"/>
            <w:tcBorders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Rodney Malcolm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0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Re: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Enron Industrial Markets Business Resizing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Date: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November 21, 2001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EIM Resize Summary:</w:t>
      </w:r>
    </w:p>
    <w:p>
      <w:pPr>
        <w:pStyle w:val="BodyTextIndent2"/>
        <w:rPr>
          <w:sz w:val="22"/>
        </w:rPr>
      </w:pPr>
      <w:r>
        <w:rPr>
          <w:sz w:val="22"/>
        </w:rPr>
        <w:t xml:space="preserve">Deleting several business lines and types of origination effort due to lack of capital and/or lack of near term earnings opportunity relative to the resources against them.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Specifically: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Cut physical &amp; financial lumber trading business – not profitable enough versus the level of resources and lack of appetite in industry for long term short positions.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Cut physical pulp trading business – not enough access to physical product and without substantial capital, we can’t get it.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Cut fundamental analysis – a lot of the initial industry research is done and we can live without the ongoing support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Asia – scale back to just our recovered paper business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Europe – scale back to primarily financial trading business in steel and forest products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Cut structured origination in forest products and steel due to lack of capital availability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Steel – scale back to primarily financial trading business.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Scale back logistics and mid and back office associated with physical business cuts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EIM Going Forward:</w:t>
      </w:r>
    </w:p>
    <w:p>
      <w:pPr>
        <w:pStyle w:val="BodyTextIndent"/>
        <w:rPr/>
      </w:pPr>
      <w:r>
        <w:rPr>
          <w:sz w:val="22"/>
        </w:rPr>
        <w:t>Newsprint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   -</w:t>
        <w:tab/>
        <w:t>maintain physical and financial trading business, look to sell existing mills with offtakes for physical business</w:t>
      </w:r>
    </w:p>
    <w:p>
      <w:pPr>
        <w:pStyle w:val="BodyTextIndent"/>
        <w:rPr>
          <w:sz w:val="22"/>
        </w:rPr>
      </w:pPr>
      <w:r>
        <w:rPr>
          <w:sz w:val="22"/>
        </w:rPr>
        <w:t>Recovered  -</w:t>
        <w:tab/>
        <w:t>maintain physical and financial trading business</w:t>
      </w:r>
    </w:p>
    <w:p>
      <w:pPr>
        <w:pStyle w:val="BodyTextIndent"/>
        <w:rPr>
          <w:sz w:val="22"/>
        </w:rPr>
      </w:pPr>
      <w:r>
        <w:rPr>
          <w:sz w:val="22"/>
        </w:rPr>
        <w:t>Pulp             -</w:t>
        <w:tab/>
        <w:t>maintain financial trading business, if capital becomes more readily available, look to go physical again</w:t>
      </w:r>
    </w:p>
    <w:p>
      <w:pPr>
        <w:pStyle w:val="BodyTextIndent"/>
        <w:rPr>
          <w:sz w:val="22"/>
        </w:rPr>
      </w:pPr>
      <w:r>
        <w:rPr>
          <w:sz w:val="22"/>
        </w:rPr>
        <w:t>Packaging   -</w:t>
        <w:tab/>
        <w:t>maintain financial trading business</w:t>
      </w:r>
    </w:p>
    <w:p>
      <w:pPr>
        <w:pStyle w:val="BodyTextIndent"/>
        <w:rPr>
          <w:sz w:val="22"/>
        </w:rPr>
      </w:pPr>
      <w:r>
        <w:rPr>
          <w:sz w:val="22"/>
        </w:rPr>
        <w:t>Steel            -</w:t>
        <w:tab/>
        <w:t>maintain financial trading business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Also, go externally on parallel paths to look for capital for the business as a whole or its separate parts – physical trading, financial trading or physical assets.</w:t>
      </w:r>
      <w:r>
        <w:br w:type="page"/>
      </w:r>
    </w:p>
    <w:p>
      <w:pPr>
        <w:pStyle w:val="Normal"/>
        <w:tabs>
          <w:tab w:val="clear" w:pos="720"/>
          <w:tab w:val="right" w:pos="8460" w:leader="none"/>
        </w:tabs>
        <w:rPr>
          <w:rFonts w:ascii="Arial" w:hAnsi="Arial" w:cs="Arial"/>
          <w:b/>
          <w:bCs/>
          <w:sz w:val="22"/>
          <w:u w:val="single"/>
        </w:rPr>
      </w:pPr>
      <w:r>
        <w:rPr>
          <w:rFonts w:cs="Arial" w:ascii="Arial" w:hAnsi="Arial"/>
          <w:b/>
          <w:bCs/>
          <w:sz w:val="22"/>
          <w:u w:val="single"/>
        </w:rPr>
        <w:t>Enron Industrial Markets Business Resizing</w:t>
      </w: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b/>
          <w:bCs/>
          <w:sz w:val="22"/>
          <w:u w:val="single"/>
        </w:rPr>
      </w:pPr>
      <w:r>
        <w:rPr>
          <w:rFonts w:cs="Arial" w:ascii="Arial" w:hAnsi="Arial"/>
          <w:b/>
          <w:bCs/>
          <w:sz w:val="22"/>
          <w:u w:val="single"/>
        </w:rPr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Headcount Reduction Summary:</w:t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(Not including EIM office of the chair that has already gone to corporate)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6"/>
        <w:gridCol w:w="2543"/>
        <w:gridCol w:w="2247"/>
      </w:tblGrid>
      <w:tr>
        <w:trPr/>
        <w:tc>
          <w:tcPr>
            <w:tcW w:w="4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Headcount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Salary Costs</w:t>
            </w:r>
          </w:p>
        </w:tc>
      </w:tr>
      <w:tr>
        <w:trPr/>
        <w:tc>
          <w:tcPr>
            <w:tcW w:w="4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Currently</w:t>
            </w:r>
          </w:p>
        </w:tc>
        <w:tc>
          <w:tcPr>
            <w:tcW w:w="2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276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$19.3 mm</w:t>
            </w:r>
          </w:p>
        </w:tc>
      </w:tr>
      <w:tr>
        <w:trPr/>
        <w:tc>
          <w:tcPr>
            <w:tcW w:w="4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Terminate immediately  (55%)</w:t>
            </w:r>
          </w:p>
        </w:tc>
        <w:tc>
          <w:tcPr>
            <w:tcW w:w="2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153  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$ 9.8 mm</w:t>
            </w:r>
          </w:p>
        </w:tc>
      </w:tr>
      <w:tr>
        <w:trPr/>
        <w:tc>
          <w:tcPr>
            <w:tcW w:w="4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Transition (1-3 months)</w:t>
            </w:r>
          </w:p>
        </w:tc>
        <w:tc>
          <w:tcPr>
            <w:tcW w:w="2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$ 0.6 mm</w:t>
            </w:r>
          </w:p>
        </w:tc>
      </w:tr>
      <w:tr>
        <w:trPr/>
        <w:tc>
          <w:tcPr>
            <w:tcW w:w="4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Total Remaining</w:t>
            </w:r>
          </w:p>
        </w:tc>
        <w:tc>
          <w:tcPr>
            <w:tcW w:w="2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117 </w:t>
            </w:r>
          </w:p>
        </w:tc>
        <w:tc>
          <w:tcPr>
            <w:tcW w:w="2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$ 8.9 mm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North America severence</w:t>
        <w:tab/>
        <w:tab/>
        <w:t>$4.58 million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Europe estimated severence</w:t>
        <w:tab/>
        <w:tab/>
      </w:r>
      <w:r>
        <w:rPr>
          <w:rFonts w:cs="Arial" w:ascii="Arial" w:hAnsi="Arial"/>
          <w:sz w:val="22"/>
          <w:u w:val="single"/>
        </w:rPr>
        <w:t>$0.50 million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Total Severance Cost</w:t>
        <w:tab/>
        <w:tab/>
        <w:tab/>
        <w:t>$5.30 million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Mid/back office related headcount reduction (not included in above totals but should be in networks totals):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Current</w:t>
        <w:tab/>
        <w:t>84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Terminate</w:t>
        <w:tab/>
        <w:t>40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Remaining</w:t>
        <w:tab/>
        <w:t>44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Total  mid/back office headcount reduction severance costs:$1.3 million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Budget Items: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7340" w:type="dxa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80"/>
        <w:gridCol w:w="1460"/>
        <w:gridCol w:w="1600"/>
        <w:gridCol w:w="1600"/>
      </w:tblGrid>
      <w:tr>
        <w:trPr>
          <w:trHeight w:val="570" w:hRule="atLeast"/>
        </w:trPr>
        <w:tc>
          <w:tcPr>
            <w:tcW w:w="268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2002 Plan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2002 Plan Adjusted 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% Reduction</w:t>
            </w:r>
          </w:p>
        </w:tc>
      </w:tr>
      <w:tr>
        <w:trPr>
          <w:trHeight w:val="285" w:hRule="atLeast"/>
        </w:trPr>
        <w:tc>
          <w:tcPr>
            <w:tcW w:w="26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Total Controllable</w:t>
            </w:r>
          </w:p>
        </w:tc>
        <w:tc>
          <w:tcPr>
            <w:tcW w:w="14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</w:t>
            </w:r>
            <w:r>
              <w:rPr>
                <w:rFonts w:cs="Arial" w:ascii="Arial" w:hAnsi="Arial"/>
                <w:sz w:val="22"/>
                <w:szCs w:val="22"/>
              </w:rPr>
              <w:t xml:space="preserve">91,321 </w:t>
            </w:r>
          </w:p>
        </w:tc>
        <w:tc>
          <w:tcPr>
            <w:tcW w:w="16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  </w:t>
            </w:r>
            <w:r>
              <w:rPr>
                <w:rFonts w:cs="Arial" w:ascii="Arial" w:hAnsi="Arial"/>
                <w:sz w:val="22"/>
                <w:szCs w:val="22"/>
              </w:rPr>
              <w:t xml:space="preserve">30,374 </w:t>
            </w:r>
          </w:p>
        </w:tc>
        <w:tc>
          <w:tcPr>
            <w:tcW w:w="160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67%</w:t>
            </w:r>
          </w:p>
        </w:tc>
      </w:tr>
      <w:tr>
        <w:trPr>
          <w:trHeight w:val="285" w:hRule="atLeast"/>
        </w:trPr>
        <w:tc>
          <w:tcPr>
            <w:tcW w:w="26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Total Non - Controllable</w:t>
            </w:r>
          </w:p>
        </w:tc>
        <w:tc>
          <w:tcPr>
            <w:tcW w:w="14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</w:t>
            </w:r>
            <w:r>
              <w:rPr>
                <w:rFonts w:cs="Arial" w:ascii="Arial" w:hAnsi="Arial"/>
                <w:sz w:val="22"/>
                <w:szCs w:val="22"/>
              </w:rPr>
              <w:t xml:space="preserve">40,443 </w:t>
            </w:r>
          </w:p>
        </w:tc>
        <w:tc>
          <w:tcPr>
            <w:tcW w:w="16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  </w:t>
            </w:r>
            <w:r>
              <w:rPr>
                <w:rFonts w:cs="Arial" w:ascii="Arial" w:hAnsi="Arial"/>
                <w:sz w:val="22"/>
                <w:szCs w:val="22"/>
              </w:rPr>
              <w:t xml:space="preserve">35,631 </w:t>
            </w:r>
          </w:p>
        </w:tc>
        <w:tc>
          <w:tcPr>
            <w:tcW w:w="160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12%</w:t>
            </w:r>
          </w:p>
        </w:tc>
      </w:tr>
      <w:tr>
        <w:trPr>
          <w:trHeight w:val="300" w:hRule="atLeast"/>
        </w:trPr>
        <w:tc>
          <w:tcPr>
            <w:tcW w:w="2680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Total Expenses</w:t>
            </w:r>
          </w:p>
        </w:tc>
        <w:tc>
          <w:tcPr>
            <w:tcW w:w="146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</w:t>
            </w:r>
            <w:r>
              <w:rPr>
                <w:rFonts w:cs="Arial" w:ascii="Arial" w:hAnsi="Arial"/>
                <w:sz w:val="22"/>
                <w:szCs w:val="22"/>
              </w:rPr>
              <w:t xml:space="preserve">131,763 </w:t>
            </w:r>
          </w:p>
        </w:tc>
        <w:tc>
          <w:tcPr>
            <w:tcW w:w="160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  </w:t>
            </w:r>
            <w:r>
              <w:rPr>
                <w:rFonts w:cs="Arial" w:ascii="Arial" w:hAnsi="Arial"/>
                <w:sz w:val="22"/>
                <w:szCs w:val="22"/>
              </w:rPr>
              <w:t xml:space="preserve">66,005 </w:t>
            </w:r>
          </w:p>
        </w:tc>
        <w:tc>
          <w:tcPr>
            <w:tcW w:w="160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50%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Assumptions: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Same rate of expenses (travel etc) post restructuring </w:t>
      </w:r>
    </w:p>
    <w:p>
      <w:pPr>
        <w:pStyle w:val="Normal"/>
        <w:numPr>
          <w:ilvl w:val="0"/>
          <w:numId w:val="3"/>
        </w:numPr>
        <w:ind w:hanging="360"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Non – controllable Corp charges and Corp Finance and EA charges unchanged – should be reductions given people reductions</w:t>
      </w:r>
    </w:p>
    <w:p>
      <w:pPr>
        <w:pStyle w:val="Normal"/>
        <w:numPr>
          <w:ilvl w:val="0"/>
          <w:numId w:val="3"/>
        </w:numPr>
        <w:ind w:hanging="360"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Networks mid office reduced for people reductions</w:t>
      </w:r>
    </w:p>
    <w:p>
      <w:pPr>
        <w:pStyle w:val="Normal"/>
        <w:numPr>
          <w:ilvl w:val="0"/>
          <w:numId w:val="3"/>
        </w:numPr>
        <w:ind w:hanging="360"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Networks not reduced for lowered IT project spending cutbacks</w:t>
      </w:r>
    </w:p>
    <w:p>
      <w:pPr>
        <w:pStyle w:val="Normal"/>
        <w:numPr>
          <w:ilvl w:val="0"/>
          <w:numId w:val="3"/>
        </w:numPr>
        <w:ind w:hanging="360"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Assumes all people have finished transition period </w:t>
      </w:r>
    </w:p>
    <w:sectPr>
      <w:footerReference w:type="defaul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JFallon_11_21_01.doc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overflowPunct w:val="false"/>
      <w:autoSpaceDE w:val="false"/>
      <w:textAlignment w:val="baseline"/>
    </w:pPr>
    <w:rPr>
      <w:rFonts w:ascii="Arial" w:hAnsi="Arial" w:cs="Arial"/>
      <w:b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</w:rPr>
  </w:style>
  <w:style w:type="paragraph" w:styleId="Subject">
    <w:name w:val="Subject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Date">
    <w:name w:val="Date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To">
    <w:name w:val="To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From">
    <w:name w:val="From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Department">
    <w:name w:val="Department"/>
    <w:basedOn w:val="Normal"/>
    <w:qFormat/>
    <w:pPr>
      <w:overflowPunct w:val="false"/>
      <w:autoSpaceDE w:val="false"/>
      <w:textAlignment w:val="baseline"/>
    </w:pPr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2001-11-21T12:21:00Z</dcterms:created>
  <dc:creator>Rodney Malcolm</dc:creator>
  <dc:description/>
  <dc:language>en-CA</dc:language>
  <cp:lastModifiedBy>Rodney Malcolm</cp:lastModifiedBy>
  <cp:lastPrinted>2001-11-21T16:56:00Z</cp:lastPrinted>
  <dcterms:modified xsi:type="dcterms:W3CDTF">2001-11-21T20:26:00Z</dcterms:modified>
  <cp:revision>26</cp:revision>
  <dc:subject/>
  <dc:title/>
</cp:coreProperties>
</file>