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0"/>
        </w:rPr>
      </w:pPr>
      <w:r>
        <w:rPr>
          <w:sz w:val="20"/>
        </w:rPr>
        <w:t>Draft 6/19/01</w:t>
      </w:r>
    </w:p>
    <w:p>
      <w:pPr>
        <w:pStyle w:val="Heading"/>
        <w:rPr>
          <w:sz w:val="20"/>
        </w:rPr>
      </w:pPr>
      <w:r>
        <w:rPr>
          <w:sz w:val="20"/>
        </w:rPr>
      </w:r>
    </w:p>
    <w:p>
      <w:pPr>
        <w:pStyle w:val="Heading"/>
        <w:rPr>
          <w:sz w:val="20"/>
        </w:rPr>
      </w:pPr>
      <w:r>
        <w:rPr>
          <w:sz w:val="20"/>
        </w:rPr>
        <w:t>OUTLINE OF PRINCIPAL TERMS AND CONDITIONS</w:t>
      </w:r>
    </w:p>
    <w:p>
      <w:pPr>
        <w:pStyle w:val="Heading"/>
        <w:rPr>
          <w:b w:val="false"/>
          <w:sz w:val="20"/>
        </w:rPr>
      </w:pPr>
      <w:r>
        <w:rPr>
          <w:b w:val="false"/>
          <w:sz w:val="20"/>
        </w:rPr>
      </w:r>
    </w:p>
    <w:p>
      <w:pPr>
        <w:pStyle w:val="Normal"/>
        <w:jc w:val="center"/>
        <w:rPr>
          <w:b/>
          <w:sz w:val="20"/>
        </w:rPr>
      </w:pPr>
      <w:r>
        <w:rPr>
          <w:b/>
          <w:sz w:val="20"/>
        </w:rPr>
        <w:t xml:space="preserve">MAINE STANDARD OFFER PROVIDER </w:t>
      </w:r>
    </w:p>
    <w:p>
      <w:pPr>
        <w:pStyle w:val="Normal"/>
        <w:jc w:val="center"/>
        <w:rPr>
          <w:sz w:val="20"/>
        </w:rPr>
      </w:pPr>
      <w:r>
        <w:rPr>
          <w:b/>
          <w:sz w:val="20"/>
        </w:rPr>
        <w:t>SERVICE AGREEMENT</w:t>
      </w:r>
    </w:p>
    <w:p>
      <w:pPr>
        <w:pStyle w:val="Normal"/>
        <w:jc w:val="start"/>
        <w:rPr>
          <w:sz w:val="20"/>
        </w:rPr>
      </w:pPr>
      <w:r>
        <w:rPr>
          <w:sz w:val="20"/>
        </w:rPr>
      </w:r>
    </w:p>
    <w:p>
      <w:pPr>
        <w:pStyle w:val="Normal"/>
        <w:jc w:val="center"/>
        <w:rPr>
          <w:sz w:val="20"/>
        </w:rPr>
      </w:pPr>
      <w:r>
        <w:rPr>
          <w:sz w:val="20"/>
        </w:rPr>
        <w:t>[___________, 2001]</w:t>
      </w:r>
    </w:p>
    <w:p>
      <w:pPr>
        <w:pStyle w:val="Normal"/>
        <w:jc w:val="start"/>
        <w:rPr>
          <w:sz w:val="20"/>
        </w:rPr>
      </w:pPr>
      <w:r>
        <w:rPr>
          <w:sz w:val="20"/>
        </w:rPr>
      </w:r>
    </w:p>
    <w:tbl>
      <w:tblPr>
        <w:tblW w:w="9468" w:type="dxa"/>
        <w:jc w:val="start"/>
        <w:tblInd w:w="108" w:type="dxa"/>
        <w:tblLayout w:type="fixed"/>
        <w:tblCellMar>
          <w:top w:w="0" w:type="dxa"/>
          <w:start w:w="108" w:type="dxa"/>
          <w:bottom w:w="0" w:type="dxa"/>
          <w:end w:w="108" w:type="dxa"/>
        </w:tblCellMar>
      </w:tblPr>
      <w:tblGrid>
        <w:gridCol w:w="3690"/>
        <w:gridCol w:w="5778"/>
      </w:tblGrid>
      <w:tr>
        <w:trPr/>
        <w:tc>
          <w:tcPr>
            <w:tcW w:w="3690" w:type="dxa"/>
            <w:tcBorders/>
          </w:tcPr>
          <w:p>
            <w:pPr>
              <w:pStyle w:val="Normal"/>
              <w:rPr>
                <w:b/>
                <w:sz w:val="20"/>
              </w:rPr>
            </w:pPr>
            <w:r>
              <w:rPr>
                <w:b/>
                <w:sz w:val="20"/>
              </w:rPr>
              <w:t>Parties:</w:t>
            </w:r>
          </w:p>
        </w:tc>
        <w:tc>
          <w:tcPr>
            <w:tcW w:w="5778" w:type="dxa"/>
            <w:tcBorders/>
          </w:tcPr>
          <w:p>
            <w:pPr>
              <w:pStyle w:val="Normal"/>
              <w:rPr>
                <w:sz w:val="20"/>
              </w:rPr>
            </w:pPr>
            <w:r>
              <w:rPr>
                <w:sz w:val="20"/>
              </w:rPr>
              <w:t>Enron Energy Services, Inc. ("EESI") and Central Maine Power Company ("T&amp;D" or "CMP").</w:t>
            </w:r>
          </w:p>
          <w:p>
            <w:pPr>
              <w:pStyle w:val="Normal"/>
              <w:rPr>
                <w:sz w:val="20"/>
              </w:rPr>
            </w:pPr>
            <w:r>
              <w:rPr>
                <w:sz w:val="20"/>
              </w:rPr>
            </w:r>
          </w:p>
        </w:tc>
      </w:tr>
      <w:tr>
        <w:trPr/>
        <w:tc>
          <w:tcPr>
            <w:tcW w:w="3690" w:type="dxa"/>
            <w:tcBorders/>
          </w:tcPr>
          <w:p>
            <w:pPr>
              <w:pStyle w:val="Normal"/>
              <w:jc w:val="start"/>
              <w:rPr>
                <w:b/>
                <w:sz w:val="20"/>
              </w:rPr>
            </w:pPr>
            <w:r>
              <w:rPr>
                <w:b/>
                <w:sz w:val="20"/>
              </w:rPr>
              <w:t>Description of Proposed Transaction:</w:t>
            </w:r>
          </w:p>
        </w:tc>
        <w:tc>
          <w:tcPr>
            <w:tcW w:w="5778" w:type="dxa"/>
            <w:tcBorders/>
          </w:tcPr>
          <w:p>
            <w:pPr>
              <w:pStyle w:val="Normal"/>
              <w:rPr>
                <w:sz w:val="20"/>
              </w:rPr>
            </w:pPr>
            <w:r>
              <w:rPr>
                <w:sz w:val="20"/>
              </w:rPr>
              <w:t xml:space="preserve">EESI would commit to put in place an agreement to provide a fixed price standard offer retail price offering for all non-choosing customers in all customer classes in CMP's service territory ("Agreement").  Specifically, The New Power Company, an EESI affiliate, will be responsible for providing residential power.  EESI or an affiliate will provide non-residential power.  EESI would take all normal market price and delivery risk (to T&amp;D), but not certain specified risks arising from material market changes or disruption or changes in Maine laws or regulation (each as set forth below).  </w:t>
            </w:r>
          </w:p>
          <w:p>
            <w:pPr>
              <w:pStyle w:val="Normal"/>
              <w:rPr>
                <w:sz w:val="20"/>
              </w:rPr>
            </w:pPr>
            <w:r>
              <w:rPr>
                <w:sz w:val="20"/>
              </w:rPr>
            </w:r>
          </w:p>
        </w:tc>
      </w:tr>
      <w:tr>
        <w:trPr/>
        <w:tc>
          <w:tcPr>
            <w:tcW w:w="3690" w:type="dxa"/>
            <w:tcBorders/>
          </w:tcPr>
          <w:p>
            <w:pPr>
              <w:pStyle w:val="Normal"/>
              <w:rPr>
                <w:sz w:val="20"/>
              </w:rPr>
            </w:pPr>
            <w:r>
              <w:rPr>
                <w:b/>
                <w:sz w:val="20"/>
              </w:rPr>
              <w:t>Term:</w:t>
            </w:r>
          </w:p>
        </w:tc>
        <w:tc>
          <w:tcPr>
            <w:tcW w:w="5778" w:type="dxa"/>
            <w:tcBorders/>
          </w:tcPr>
          <w:p>
            <w:pPr>
              <w:pStyle w:val="Normal"/>
              <w:rPr>
                <w:sz w:val="20"/>
              </w:rPr>
            </w:pPr>
            <w:r>
              <w:rPr>
                <w:sz w:val="20"/>
              </w:rPr>
              <w:t>March 1, 2002 through February 28, 2005</w:t>
            </w:r>
          </w:p>
          <w:p>
            <w:pPr>
              <w:pStyle w:val="Normal"/>
              <w:rPr>
                <w:sz w:val="20"/>
              </w:rPr>
            </w:pPr>
            <w:r>
              <w:rPr>
                <w:sz w:val="20"/>
              </w:rPr>
            </w:r>
          </w:p>
        </w:tc>
      </w:tr>
      <w:tr>
        <w:trPr/>
        <w:tc>
          <w:tcPr>
            <w:tcW w:w="3690" w:type="dxa"/>
            <w:tcBorders/>
          </w:tcPr>
          <w:p>
            <w:pPr>
              <w:pStyle w:val="Normal"/>
              <w:rPr>
                <w:b/>
                <w:sz w:val="20"/>
              </w:rPr>
            </w:pPr>
            <w:r>
              <w:rPr>
                <w:b/>
                <w:sz w:val="20"/>
              </w:rPr>
              <w:t>Price:</w:t>
            </w:r>
          </w:p>
        </w:tc>
        <w:tc>
          <w:tcPr>
            <w:tcW w:w="5778" w:type="dxa"/>
            <w:tcBorders/>
          </w:tcPr>
          <w:p>
            <w:pPr>
              <w:pStyle w:val="Normal"/>
              <w:rPr>
                <w:sz w:val="20"/>
              </w:rPr>
            </w:pPr>
            <w:r>
              <w:rPr>
                <w:sz w:val="20"/>
              </w:rPr>
              <w:t>Residential and small non-residential:  [$__]/kWh</w:t>
            </w:r>
          </w:p>
          <w:p>
            <w:pPr>
              <w:pStyle w:val="Normal"/>
              <w:rPr>
                <w:sz w:val="20"/>
              </w:rPr>
            </w:pPr>
            <w:r>
              <w:rPr>
                <w:sz w:val="20"/>
              </w:rPr>
              <w:t>Medium non-residential: [$__kW; $__kWh; state if any seasonal or time of day]</w:t>
            </w:r>
          </w:p>
          <w:p>
            <w:pPr>
              <w:pStyle w:val="Normal"/>
              <w:rPr>
                <w:sz w:val="20"/>
              </w:rPr>
            </w:pPr>
            <w:r>
              <w:rPr>
                <w:sz w:val="20"/>
              </w:rPr>
              <w:t>Large non-residential: [$__kW; $__kWh; state if any seasonal or time of day]</w:t>
            </w:r>
          </w:p>
          <w:p>
            <w:pPr>
              <w:pStyle w:val="Normal"/>
              <w:rPr>
                <w:sz w:val="20"/>
              </w:rPr>
            </w:pPr>
            <w:r>
              <w:rPr>
                <w:sz w:val="20"/>
              </w:rPr>
            </w:r>
          </w:p>
        </w:tc>
      </w:tr>
      <w:tr>
        <w:trPr/>
        <w:tc>
          <w:tcPr>
            <w:tcW w:w="3690" w:type="dxa"/>
            <w:tcBorders/>
          </w:tcPr>
          <w:p>
            <w:pPr>
              <w:pStyle w:val="Normal"/>
              <w:rPr>
                <w:b/>
                <w:sz w:val="20"/>
              </w:rPr>
            </w:pPr>
            <w:r>
              <w:rPr>
                <w:b/>
                <w:sz w:val="20"/>
              </w:rPr>
              <w:t>Quantity:</w:t>
            </w:r>
          </w:p>
        </w:tc>
        <w:tc>
          <w:tcPr>
            <w:tcW w:w="5778" w:type="dxa"/>
            <w:tcBorders/>
          </w:tcPr>
          <w:p>
            <w:pPr>
              <w:pStyle w:val="Normal"/>
              <w:rPr>
                <w:sz w:val="20"/>
              </w:rPr>
            </w:pPr>
            <w:r>
              <w:rPr>
                <w:sz w:val="20"/>
              </w:rPr>
              <w:t>Aggregate energy requirements of all CMP standard offer customers at the Delivery Point, determined in accordance with mutually agreed procedures, including all line losses to the customers' meters.</w:t>
            </w:r>
          </w:p>
          <w:p>
            <w:pPr>
              <w:pStyle w:val="Normal"/>
              <w:rPr>
                <w:sz w:val="20"/>
              </w:rPr>
            </w:pPr>
            <w:r>
              <w:rPr>
                <w:sz w:val="20"/>
              </w:rPr>
            </w:r>
          </w:p>
        </w:tc>
      </w:tr>
      <w:tr>
        <w:trPr/>
        <w:tc>
          <w:tcPr>
            <w:tcW w:w="3690" w:type="dxa"/>
            <w:tcBorders/>
          </w:tcPr>
          <w:p>
            <w:pPr>
              <w:pStyle w:val="Normal"/>
              <w:rPr>
                <w:b/>
                <w:sz w:val="20"/>
              </w:rPr>
            </w:pPr>
            <w:r>
              <w:rPr>
                <w:b/>
                <w:sz w:val="20"/>
              </w:rPr>
              <w:t>Price Adjustments:</w:t>
            </w:r>
          </w:p>
        </w:tc>
        <w:tc>
          <w:tcPr>
            <w:tcW w:w="5778" w:type="dxa"/>
            <w:tcBorders/>
          </w:tcPr>
          <w:p>
            <w:pPr>
              <w:pStyle w:val="Normal"/>
              <w:rPr>
                <w:sz w:val="20"/>
              </w:rPr>
            </w:pPr>
            <w:r>
              <w:rPr>
                <w:sz w:val="20"/>
              </w:rPr>
              <w:t>Any price adjustments made on account of a Change in Maine Law or Regulation or a Change in Other Law or Regulation (each as defined below) will relate back to the effective date of the change.  No price adjustments other than as expressly contemplated by the Agreement will be allowed.</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pPr>
            <w:r>
              <w:rPr>
                <w:b/>
                <w:i/>
                <w:sz w:val="20"/>
              </w:rPr>
              <w:t>Because the market could in fact change, even dramatically, well prior to the effective date of the change in law in anticipation thereof, we think a relation back to the formal effective date of the change is a reasonable compromise</w:t>
            </w:r>
            <w:r>
              <w:rPr>
                <w:i/>
                <w:sz w:val="20"/>
              </w:rPr>
              <w:t>.</w:t>
            </w:r>
          </w:p>
          <w:p>
            <w:pPr>
              <w:pStyle w:val="Normal"/>
              <w:rPr>
                <w:i/>
                <w:i/>
                <w:sz w:val="20"/>
              </w:rPr>
            </w:pPr>
            <w:r>
              <w:rPr>
                <w:i/>
                <w:sz w:val="20"/>
              </w:rPr>
              <w:t xml:space="preserve"> </w:t>
            </w:r>
          </w:p>
        </w:tc>
      </w:tr>
      <w:tr>
        <w:trPr/>
        <w:tc>
          <w:tcPr>
            <w:tcW w:w="3690" w:type="dxa"/>
            <w:tcBorders/>
          </w:tcPr>
          <w:p>
            <w:pPr>
              <w:pStyle w:val="Normal"/>
              <w:rPr>
                <w:b/>
                <w:sz w:val="20"/>
              </w:rPr>
            </w:pPr>
            <w:r>
              <w:rPr>
                <w:b/>
                <w:sz w:val="20"/>
              </w:rPr>
              <w:t>Uncollectibles Allowance:</w:t>
            </w:r>
          </w:p>
        </w:tc>
        <w:tc>
          <w:tcPr>
            <w:tcW w:w="5778" w:type="dxa"/>
            <w:tcBorders/>
          </w:tcPr>
          <w:p>
            <w:pPr>
              <w:pStyle w:val="Normal"/>
              <w:rPr>
                <w:sz w:val="20"/>
              </w:rPr>
            </w:pPr>
            <w:r>
              <w:rPr>
                <w:sz w:val="20"/>
              </w:rPr>
              <w:t>Per "Precepts" (attached as Exhibit A).</w:t>
            </w:r>
          </w:p>
          <w:p>
            <w:pPr>
              <w:pStyle w:val="Normal"/>
              <w:rPr>
                <w:sz w:val="20"/>
              </w:rPr>
            </w:pPr>
            <w:r>
              <w:rPr>
                <w:sz w:val="20"/>
              </w:rPr>
            </w:r>
          </w:p>
        </w:tc>
      </w:tr>
      <w:tr>
        <w:trPr/>
        <w:tc>
          <w:tcPr>
            <w:tcW w:w="3690" w:type="dxa"/>
            <w:tcBorders/>
          </w:tcPr>
          <w:p>
            <w:pPr>
              <w:pStyle w:val="Normal"/>
              <w:rPr>
                <w:b/>
                <w:sz w:val="20"/>
              </w:rPr>
            </w:pPr>
            <w:r>
              <w:rPr>
                <w:b/>
                <w:sz w:val="20"/>
              </w:rPr>
              <w:t>Provided Products:</w:t>
            </w:r>
          </w:p>
        </w:tc>
        <w:tc>
          <w:tcPr>
            <w:tcW w:w="5778" w:type="dxa"/>
            <w:tcBorders/>
          </w:tcPr>
          <w:p>
            <w:pPr>
              <w:pStyle w:val="Normal"/>
              <w:rPr>
                <w:sz w:val="20"/>
              </w:rPr>
            </w:pPr>
            <w:r>
              <w:rPr>
                <w:sz w:val="20"/>
              </w:rPr>
              <w:t>Energy, Installed Capability ("ICAP"), and Ancillary Services (defined as: Ten-Minute Spinning Reserves, Ten-Minute Non-Spinning Reserves, Thirty-Minute Operating Reserves, Automatic Generation Control, NEPOOL PTF and CMP Local Network electrical losses, "additional uplift" as described in Section 14.15 of the NEPOOL Rules and "congestion uplift" as defined in Section 14.14 of the NEPOOL Rules).  EESI will also pay all charges of ISO-NE associated with EESI's NEPOOL membership and with serving the standard offer service load, as identified on Schedules 2 and 3 of the ISO-NE Tariff (except for any such ISO-NE or NEPOOL charges that are imposed directly on CMP in connection with the provision of delivery services) (all of the foregoing defined as each is required of load serving entities under the NEPOOL Rules and ISO-NE Tariff as of the date of contract execution (collectively, the "Provided Products").</w:t>
            </w:r>
          </w:p>
          <w:p>
            <w:pPr>
              <w:pStyle w:val="Normal"/>
              <w:rPr>
                <w:sz w:val="20"/>
              </w:rPr>
            </w:pPr>
            <w:r>
              <w:rPr>
                <w:sz w:val="20"/>
              </w:rPr>
            </w:r>
          </w:p>
        </w:tc>
      </w:tr>
      <w:tr>
        <w:trPr/>
        <w:tc>
          <w:tcPr>
            <w:tcW w:w="3690" w:type="dxa"/>
            <w:tcBorders/>
          </w:tcPr>
          <w:p>
            <w:pPr>
              <w:pStyle w:val="Normal"/>
              <w:rPr>
                <w:sz w:val="20"/>
              </w:rPr>
            </w:pPr>
            <w:r>
              <w:rPr>
                <w:b/>
                <w:sz w:val="20"/>
              </w:rPr>
              <w:t>Products Not Provided:</w:t>
            </w:r>
          </w:p>
        </w:tc>
        <w:tc>
          <w:tcPr>
            <w:tcW w:w="5778" w:type="dxa"/>
            <w:tcBorders/>
          </w:tcPr>
          <w:p>
            <w:pPr>
              <w:pStyle w:val="Normal"/>
              <w:rPr/>
            </w:pPr>
            <w:r>
              <w:rPr>
                <w:sz w:val="20"/>
              </w:rPr>
              <w:t xml:space="preserve">Any product or obligation not specified above under Provided Products and/or that does not exist or is not required of load serving entities under NEPOOL Rules and the ISO-NE Tariff as of the date of contract execution (each "New Market Product"), </w:t>
            </w:r>
            <w:r>
              <w:rPr>
                <w:sz w:val="20"/>
                <w:u w:val="single"/>
              </w:rPr>
              <w:t>provided</w:t>
            </w:r>
            <w:r>
              <w:rPr>
                <w:sz w:val="20"/>
              </w:rPr>
              <w:t xml:space="preserve"> that EESI will formulate, where it is reasonably practicable for it to do so, a good faith offer to supply same for the balance of the term, subject to reasonably satisfactory credit arrangements with respect to reimbursement on account of the incremental costs of any New Market Product.  If a New Market Product can be provided at no additional cost to EESI, i.e. by satisfying the New Market Product with an existing market product, then EESI will provide that product.</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This is the same approach as taken in the current EPMI/CMP wholesale supply agreement, and protects EESI against obligations as a load serving entity in NEPOOL that are fundamentally different than those upon which its pricing proposal was based.  The New Market Products could be provided by the T&amp;D, EESI or another source, so long as the amount of the standard offer load is not reduced (as it would be if the products were provided directly to the standard offer customers- see "Expansion/Contraction of Customer Load," below).</w:t>
            </w:r>
          </w:p>
          <w:p>
            <w:pPr>
              <w:pStyle w:val="Normal"/>
              <w:rPr>
                <w:b/>
                <w:i/>
                <w:i/>
                <w:sz w:val="20"/>
              </w:rPr>
            </w:pPr>
            <w:r>
              <w:rPr>
                <w:b/>
                <w:i/>
                <w:sz w:val="20"/>
              </w:rPr>
            </w:r>
          </w:p>
        </w:tc>
      </w:tr>
      <w:tr>
        <w:trPr/>
        <w:tc>
          <w:tcPr>
            <w:tcW w:w="3690" w:type="dxa"/>
            <w:tcBorders/>
          </w:tcPr>
          <w:p>
            <w:pPr>
              <w:pStyle w:val="Normal"/>
              <w:rPr>
                <w:b/>
                <w:sz w:val="20"/>
              </w:rPr>
            </w:pPr>
            <w:r>
              <w:rPr>
                <w:b/>
                <w:sz w:val="20"/>
              </w:rPr>
              <w:t>Delivery Point(s):</w:t>
            </w:r>
          </w:p>
        </w:tc>
        <w:tc>
          <w:tcPr>
            <w:tcW w:w="5778" w:type="dxa"/>
            <w:tcBorders/>
          </w:tcPr>
          <w:p>
            <w:pPr>
              <w:pStyle w:val="Normal"/>
              <w:rPr>
                <w:b/>
                <w:sz w:val="20"/>
              </w:rPr>
            </w:pPr>
            <w:r>
              <w:rPr>
                <w:sz w:val="20"/>
              </w:rPr>
              <w:t xml:space="preserve">NEPOOL PTF (until a congestion management system is effective within NEPOOL, and then any point(s) selected by EESI that intersects with T&amp;D's Local Network per Restated NEPOOL Agreement). </w:t>
            </w:r>
          </w:p>
          <w:p>
            <w:pPr>
              <w:pStyle w:val="Normal"/>
              <w:rPr>
                <w:b/>
                <w:sz w:val="20"/>
              </w:rPr>
            </w:pPr>
            <w:r>
              <w:rPr>
                <w:b/>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Once a CMS is implemented in NEPOOL, EESI will bear the risks of that pricing structure.</w:t>
            </w:r>
          </w:p>
          <w:p>
            <w:pPr>
              <w:pStyle w:val="Normal"/>
              <w:rPr>
                <w:b/>
                <w:i/>
                <w:i/>
                <w:sz w:val="20"/>
              </w:rPr>
            </w:pPr>
            <w:r>
              <w:rPr>
                <w:b/>
                <w:i/>
                <w:sz w:val="20"/>
              </w:rPr>
            </w:r>
          </w:p>
        </w:tc>
      </w:tr>
      <w:tr>
        <w:trPr/>
        <w:tc>
          <w:tcPr>
            <w:tcW w:w="3690" w:type="dxa"/>
            <w:tcBorders/>
          </w:tcPr>
          <w:p>
            <w:pPr>
              <w:pStyle w:val="Normal"/>
              <w:rPr>
                <w:sz w:val="20"/>
              </w:rPr>
            </w:pPr>
            <w:r>
              <w:rPr>
                <w:b/>
                <w:sz w:val="20"/>
              </w:rPr>
              <w:t>Delivery Obligation:</w:t>
            </w:r>
          </w:p>
        </w:tc>
        <w:tc>
          <w:tcPr>
            <w:tcW w:w="5778" w:type="dxa"/>
            <w:tcBorders/>
          </w:tcPr>
          <w:p>
            <w:pPr>
              <w:pStyle w:val="Normal"/>
              <w:rPr>
                <w:sz w:val="20"/>
              </w:rPr>
            </w:pPr>
            <w:r>
              <w:rPr>
                <w:sz w:val="20"/>
              </w:rPr>
              <w:t>Firm unless excused by Force Majeure or T&amp;D failure to perform.</w:t>
            </w:r>
          </w:p>
          <w:p>
            <w:pPr>
              <w:pStyle w:val="Normal"/>
              <w:rPr>
                <w:sz w:val="20"/>
              </w:rPr>
            </w:pPr>
            <w:r>
              <w:rPr>
                <w:sz w:val="20"/>
              </w:rPr>
            </w:r>
          </w:p>
        </w:tc>
      </w:tr>
      <w:tr>
        <w:trPr/>
        <w:tc>
          <w:tcPr>
            <w:tcW w:w="3690" w:type="dxa"/>
            <w:tcBorders/>
          </w:tcPr>
          <w:p>
            <w:pPr>
              <w:pStyle w:val="Normal"/>
              <w:rPr>
                <w:b/>
                <w:sz w:val="20"/>
              </w:rPr>
            </w:pPr>
            <w:r>
              <w:rPr>
                <w:b/>
                <w:sz w:val="20"/>
              </w:rPr>
              <w:t>Force Majeure:</w:t>
            </w:r>
          </w:p>
        </w:tc>
        <w:tc>
          <w:tcPr>
            <w:tcW w:w="5778" w:type="dxa"/>
            <w:tcBorders/>
          </w:tcPr>
          <w:p>
            <w:pPr>
              <w:pStyle w:val="Normal"/>
              <w:rPr>
                <w:sz w:val="20"/>
              </w:rPr>
            </w:pPr>
            <w:r>
              <w:rPr>
                <w:sz w:val="20"/>
              </w:rPr>
              <w:t>Limited to events giving rise to a failure of NEPOOL or ISO-NE to deliver energy to T&amp;D at the Delivery Point(s) or a failure of T&amp;D to be able to deliver energy to standard offer customers.</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 xml:space="preserve">This is a limited Force Majeure provision which would only provide relief if delivery to CMP at the Delivery Point(s) was interrupted on account of a force majeure type event within NEPOOL or which prevented power from flowing to the standard offer customer meters (i.e., no upstream event with respect to an EESI transmission provider beyond the NEPOOL Control Area would constitute Force Majeure). </w:t>
            </w:r>
          </w:p>
          <w:p>
            <w:pPr>
              <w:pStyle w:val="Normal"/>
              <w:rPr>
                <w:b/>
                <w:i/>
                <w:i/>
                <w:sz w:val="20"/>
              </w:rPr>
            </w:pPr>
            <w:r>
              <w:rPr>
                <w:b/>
                <w:i/>
                <w:sz w:val="20"/>
              </w:rPr>
            </w:r>
          </w:p>
        </w:tc>
      </w:tr>
      <w:tr>
        <w:trPr/>
        <w:tc>
          <w:tcPr>
            <w:tcW w:w="3690" w:type="dxa"/>
            <w:tcBorders/>
          </w:tcPr>
          <w:p>
            <w:pPr>
              <w:pStyle w:val="Normal"/>
              <w:rPr>
                <w:sz w:val="20"/>
              </w:rPr>
            </w:pPr>
            <w:r>
              <w:rPr>
                <w:b/>
                <w:sz w:val="20"/>
              </w:rPr>
              <w:t>Supply Options:</w:t>
            </w:r>
          </w:p>
        </w:tc>
        <w:tc>
          <w:tcPr>
            <w:tcW w:w="5778" w:type="dxa"/>
            <w:tcBorders/>
          </w:tcPr>
          <w:p>
            <w:pPr>
              <w:pStyle w:val="Normal"/>
              <w:rPr>
                <w:sz w:val="20"/>
              </w:rPr>
            </w:pPr>
            <w:r>
              <w:rPr>
                <w:sz w:val="20"/>
              </w:rPr>
              <w:t>All Provided Products can be supplied either directly by EESI (or an affiliate) or indirectly by EESI by purchase through ISO-NE.  EESI will pay all ISO-NE invoices resulting therefrom.</w:t>
            </w:r>
          </w:p>
          <w:p>
            <w:pPr>
              <w:pStyle w:val="Normal"/>
              <w:rPr>
                <w:sz w:val="20"/>
              </w:rPr>
            </w:pPr>
            <w:r>
              <w:rPr>
                <w:sz w:val="20"/>
              </w:rPr>
            </w:r>
          </w:p>
        </w:tc>
      </w:tr>
      <w:tr>
        <w:trPr/>
        <w:tc>
          <w:tcPr>
            <w:tcW w:w="3690" w:type="dxa"/>
            <w:tcBorders/>
          </w:tcPr>
          <w:p>
            <w:pPr>
              <w:pStyle w:val="Normal"/>
              <w:rPr>
                <w:b/>
                <w:sz w:val="20"/>
              </w:rPr>
            </w:pPr>
            <w:r>
              <w:rPr>
                <w:b/>
                <w:sz w:val="20"/>
              </w:rPr>
              <w:t>Renewables Requirements:</w:t>
            </w:r>
          </w:p>
        </w:tc>
        <w:tc>
          <w:tcPr>
            <w:tcW w:w="5778" w:type="dxa"/>
            <w:tcBorders/>
          </w:tcPr>
          <w:p>
            <w:pPr>
              <w:pStyle w:val="Normal"/>
              <w:rPr/>
            </w:pPr>
            <w:r>
              <w:rPr>
                <w:sz w:val="20"/>
              </w:rPr>
              <w:t xml:space="preserve">EESI will comply with all Maine renewable resources requirements as of date of contract execution ("Renewables Requirements"); but will not be responsible for any additional renewables requirements, whether arising from new rules, changes in the definition of the types of resources that qualify as renewable resources or otherwise ("New Renewables Requirements"), </w:t>
            </w:r>
            <w:r>
              <w:rPr>
                <w:sz w:val="20"/>
                <w:u w:val="single"/>
              </w:rPr>
              <w:t>provided</w:t>
            </w:r>
            <w:r>
              <w:rPr>
                <w:sz w:val="20"/>
              </w:rPr>
              <w:t xml:space="preserve"> that EESI will formulate, where it is reasonably practicable for it to do so, a good faith offer to comply, or arrange for compliance, with same for the balance of the term, subject to reasonably satisfactory credit arrangements with respect to reimbursement on account of the incremental costs of complying with any New Renewables Requirements.  However, if a New Renewables Requirement can be complied with at no additional cost to EESI then EESI will so comply.</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This is basically the same concept as for New Market Products.</w:t>
            </w:r>
          </w:p>
          <w:p>
            <w:pPr>
              <w:pStyle w:val="Normal"/>
              <w:rPr>
                <w:b/>
                <w:i/>
                <w:i/>
                <w:sz w:val="20"/>
              </w:rPr>
            </w:pPr>
            <w:r>
              <w:rPr>
                <w:b/>
                <w:i/>
                <w:sz w:val="20"/>
              </w:rPr>
            </w:r>
          </w:p>
        </w:tc>
      </w:tr>
      <w:tr>
        <w:trPr/>
        <w:tc>
          <w:tcPr>
            <w:tcW w:w="3690" w:type="dxa"/>
            <w:tcBorders/>
          </w:tcPr>
          <w:p>
            <w:pPr>
              <w:pStyle w:val="Normal"/>
              <w:rPr>
                <w:b/>
                <w:sz w:val="20"/>
              </w:rPr>
            </w:pPr>
            <w:r>
              <w:rPr>
                <w:b/>
                <w:sz w:val="20"/>
              </w:rPr>
              <w:t>Change in Maine Law or Regulation:</w:t>
            </w:r>
          </w:p>
        </w:tc>
        <w:tc>
          <w:tcPr>
            <w:tcW w:w="5778" w:type="dxa"/>
            <w:tcBorders/>
          </w:tcPr>
          <w:p>
            <w:pPr>
              <w:pStyle w:val="Normal"/>
              <w:rPr/>
            </w:pPr>
            <w:r>
              <w:rPr>
                <w:sz w:val="20"/>
              </w:rPr>
              <w:t xml:space="preserve">In the event that any governmental authority of the state of Maine (i) changes a Precept or (ii) changes the regulation of EESI as an SOP from that which existed at contract execution, which change (A) reduces the revenue to be received by EESI from the standard offer customers (i.e., lowers the standard offer rate, changes the rules for switching to and from standard offer service, reduces the size of the standard offer load, etc.), (B) subjects EESI to more extensive regulatory oversight or requirements (i.e., code of conduct, rate of return, disclosure of internal books and records, etc.) or (C) otherwise fundamentally alters the material economic or legal assumptions upon which EESI reasonably relied in entering into the Agreement (each, a "Change in Maine Law or Regulation"), then EESI and T&amp;D will, with MPUC involvement and approval, endeavor in good faith to negotiate an amendment designed to place EESI in the same economic position it would have occupied had the change not occurred, </w:t>
            </w:r>
            <w:r>
              <w:rPr>
                <w:sz w:val="20"/>
                <w:u w:val="single"/>
              </w:rPr>
              <w:t>provided</w:t>
            </w:r>
            <w:r>
              <w:rPr>
                <w:sz w:val="20"/>
              </w:rPr>
              <w:t xml:space="preserve"> that if no amendment is reached by EESI and T&amp;D and approved by the MPUC within [30] days, EESI may terminate and recover a Termination Payment (defined below), if any is due. </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pPr>
            <w:r>
              <w:rPr>
                <w:b/>
                <w:i/>
                <w:sz w:val="20"/>
              </w:rPr>
              <w:t xml:space="preserve">This is adapted from other transactions where this type of concept has been or is being negotiated, to capture the fundamental elements of the types of risks (other than New Market Products, New Renewables Requirements, New Taxes, etc.) which we feel an SOP should not be asked to bear and which we believe contributed to the unacceptable bids in the prior RFB.  Note that the precondition that must occur here is a change in </w:t>
            </w:r>
            <w:r>
              <w:rPr>
                <w:b/>
                <w:i/>
                <w:sz w:val="20"/>
                <w:u w:val="single"/>
              </w:rPr>
              <w:t>Maine</w:t>
            </w:r>
            <w:r>
              <w:rPr>
                <w:b/>
                <w:i/>
                <w:sz w:val="20"/>
              </w:rPr>
              <w:t xml:space="preserve"> </w:t>
            </w:r>
            <w:r>
              <w:rPr>
                <w:b/>
                <w:i/>
                <w:sz w:val="20"/>
                <w:u w:val="single"/>
              </w:rPr>
              <w:t>law</w:t>
            </w:r>
            <w:r>
              <w:rPr>
                <w:b/>
                <w:i/>
                <w:sz w:val="20"/>
              </w:rPr>
              <w:t xml:space="preserve"> </w:t>
            </w:r>
            <w:r>
              <w:rPr>
                <w:b/>
                <w:i/>
                <w:sz w:val="20"/>
                <w:u w:val="single"/>
              </w:rPr>
              <w:t>or regulation</w:t>
            </w:r>
            <w:r>
              <w:rPr>
                <w:b/>
                <w:i/>
                <w:sz w:val="20"/>
              </w:rPr>
              <w:t xml:space="preserve"> </w:t>
            </w:r>
            <w:r>
              <w:rPr>
                <w:b/>
                <w:i/>
                <w:sz w:val="20"/>
                <w:u w:val="single"/>
              </w:rPr>
              <w:t>only</w:t>
            </w:r>
            <w:r>
              <w:rPr>
                <w:b/>
                <w:i/>
                <w:sz w:val="20"/>
              </w:rPr>
              <w:t xml:space="preserve"> – with respect to all other changes, EESI will accept the process proposed by the Commission in its latest Alternative Contract Provisions.  Because the very nature of these risks is that the form thereof cannot always be predicted, some level of generality is  necessary.</w:t>
            </w:r>
          </w:p>
          <w:p>
            <w:pPr>
              <w:pStyle w:val="Normal"/>
              <w:rPr>
                <w:b/>
                <w:i/>
                <w:i/>
                <w:sz w:val="20"/>
              </w:rPr>
            </w:pPr>
            <w:r>
              <w:rPr>
                <w:b/>
                <w:i/>
                <w:sz w:val="20"/>
              </w:rPr>
            </w:r>
          </w:p>
          <w:p>
            <w:pPr>
              <w:pStyle w:val="Normal"/>
              <w:rPr>
                <w:b/>
                <w:i/>
                <w:i/>
                <w:sz w:val="20"/>
              </w:rPr>
            </w:pPr>
            <w:r>
              <w:rPr>
                <w:b/>
                <w:i/>
                <w:sz w:val="20"/>
              </w:rPr>
            </w:r>
          </w:p>
        </w:tc>
      </w:tr>
      <w:tr>
        <w:trPr/>
        <w:tc>
          <w:tcPr>
            <w:tcW w:w="3690" w:type="dxa"/>
            <w:tcBorders/>
          </w:tcPr>
          <w:p>
            <w:pPr>
              <w:pStyle w:val="Normal"/>
              <w:jc w:val="start"/>
              <w:rPr>
                <w:b/>
                <w:sz w:val="20"/>
              </w:rPr>
            </w:pPr>
            <w:r>
              <w:rPr>
                <w:b/>
                <w:sz w:val="20"/>
              </w:rPr>
              <w:t>T&amp;D Conversion Right:</w:t>
            </w:r>
          </w:p>
        </w:tc>
        <w:tc>
          <w:tcPr>
            <w:tcW w:w="5778" w:type="dxa"/>
            <w:tcBorders/>
          </w:tcPr>
          <w:p>
            <w:pPr>
              <w:pStyle w:val="Normal"/>
              <w:rPr>
                <w:sz w:val="20"/>
              </w:rPr>
            </w:pPr>
            <w:r>
              <w:rPr>
                <w:sz w:val="20"/>
              </w:rPr>
              <w:t xml:space="preserve">In the event EESI provides notice that it intends to terminate on account of a Change in Maine Law or Regulation of the type specified in (ii)(B), above (or which otherwise results from action of the MPUC), and the effect thereof on EESI could be fully mitigated by converting the Agreement to a wholesale supply agreement between EESI (or an affiliate) and T&amp;D, T&amp;D would have the option, in lieu of paying a termination payment, by providing [15] days notice to EESI, to cause EESI to so convert the Agreement, effective as of the previously specified termination date.  In such event, T&amp;D and EESI would promptly enter into a wholesale service agreement in form substantially similar to the prior wholesale service agreement between CMP and Enron Power Marketing, Inc. dated as of February 7, 2001 and in substance upon the same material economic terms as set forth in the Agreement, without giving effect to the Change in Maine Law or Regulation.  </w:t>
            </w:r>
          </w:p>
          <w:p>
            <w:pPr>
              <w:pStyle w:val="Normal"/>
              <w:rPr>
                <w:sz w:val="20"/>
              </w:rPr>
            </w:pPr>
            <w:r>
              <w:rPr>
                <w:sz w:val="20"/>
              </w:rPr>
              <w:t xml:space="preserve"> </w:t>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This provision gives the T&amp;D (and, through the T&amp;D, the Commission) the ability to avoid a termination payment by converting the SOP contract to a wholesale supply agreement along the lines of that currently in effect between EPMI and CMP, but with the same relative economics as in the SOP contract.  We have necessarily limited this right to situations where such conversion would in fact mitigate the adverse effects of the change upon EESI (i.e., public utility-type regulation).  We put the dates in brackets pending further discussion of what an appropriate time period would be for the conversion process, but would note that some expedition is definitely necessary.</w:t>
            </w:r>
          </w:p>
          <w:p>
            <w:pPr>
              <w:pStyle w:val="Normal"/>
              <w:rPr>
                <w:b/>
                <w:i/>
                <w:i/>
                <w:sz w:val="20"/>
              </w:rPr>
            </w:pPr>
            <w:r>
              <w:rPr>
                <w:b/>
                <w:i/>
                <w:sz w:val="20"/>
              </w:rPr>
            </w:r>
          </w:p>
        </w:tc>
      </w:tr>
      <w:tr>
        <w:trPr/>
        <w:tc>
          <w:tcPr>
            <w:tcW w:w="3690" w:type="dxa"/>
            <w:tcBorders/>
          </w:tcPr>
          <w:p>
            <w:pPr>
              <w:pStyle w:val="Normal"/>
              <w:jc w:val="start"/>
              <w:rPr>
                <w:b/>
                <w:sz w:val="20"/>
              </w:rPr>
            </w:pPr>
            <w:r>
              <w:rPr>
                <w:b/>
                <w:sz w:val="20"/>
              </w:rPr>
              <w:t>Change in Other Law or Regulation:</w:t>
            </w:r>
          </w:p>
        </w:tc>
        <w:tc>
          <w:tcPr>
            <w:tcW w:w="5778" w:type="dxa"/>
            <w:tcBorders/>
          </w:tcPr>
          <w:p>
            <w:pPr>
              <w:pStyle w:val="Normal"/>
              <w:rPr/>
            </w:pPr>
            <w:r>
              <w:rPr>
                <w:sz w:val="20"/>
              </w:rPr>
              <w:t>In the event of a change in any law or regulation other than Maine law, including by FERC, NEPOOL, ISO-NE or otherwise (a "Change in Other Law or Regulation"), which change has one or more of the effects on EESI specified under Change in Maine Law or Regulation set forth above (</w:t>
            </w:r>
            <w:r>
              <w:rPr>
                <w:sz w:val="20"/>
                <w:u w:val="single"/>
              </w:rPr>
              <w:t>provided</w:t>
            </w:r>
            <w:r>
              <w:rPr>
                <w:sz w:val="20"/>
              </w:rPr>
              <w:t xml:space="preserve"> that such change is not the result of actions initiated or principally advocated by T&amp;D, the MPUC or other governmental authorities of the State of Maine, which would constitute an event of default under "Further Assurances," below), EESI and T&amp;D will endeavor to negotiate in good faith an amendment to reflect, as closely as possible, the intent and substance of the Agreement prior to the change.  If the parties are unable to reach agreement on an amendment, either party may propose a conforming amendment to the MPUC, </w:t>
            </w:r>
            <w:r>
              <w:rPr>
                <w:sz w:val="20"/>
                <w:u w:val="single"/>
              </w:rPr>
              <w:t>provided</w:t>
            </w:r>
            <w:r>
              <w:rPr>
                <w:sz w:val="20"/>
              </w:rPr>
              <w:t xml:space="preserve"> that neither EESI nor T&amp;D will be entitled to terminate the Agreement on account of such change or any ruling of the MPUC with respect to a proposed amendment.</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This follows, for all non-Maine-based risks, the concept previously proposed by the Commission in its Alternative Contract Provisions.  It is important to bear in mind, however, that EESI is fully bearing these risks in the event that the Commission does not provide relief.</w:t>
            </w:r>
          </w:p>
          <w:p>
            <w:pPr>
              <w:pStyle w:val="Normal"/>
              <w:rPr>
                <w:b/>
                <w:i/>
                <w:i/>
                <w:sz w:val="20"/>
              </w:rPr>
            </w:pPr>
            <w:r>
              <w:rPr>
                <w:b/>
                <w:i/>
                <w:sz w:val="20"/>
              </w:rPr>
            </w:r>
          </w:p>
        </w:tc>
      </w:tr>
      <w:tr>
        <w:trPr/>
        <w:tc>
          <w:tcPr>
            <w:tcW w:w="3690" w:type="dxa"/>
            <w:tcBorders/>
          </w:tcPr>
          <w:p>
            <w:pPr>
              <w:pStyle w:val="Normal"/>
              <w:jc w:val="start"/>
              <w:rPr>
                <w:b/>
                <w:sz w:val="20"/>
              </w:rPr>
            </w:pPr>
            <w:r>
              <w:rPr>
                <w:b/>
                <w:sz w:val="20"/>
              </w:rPr>
              <w:t>Expansion/Contraction of Customer Load:</w:t>
            </w:r>
          </w:p>
        </w:tc>
        <w:tc>
          <w:tcPr>
            <w:tcW w:w="5778" w:type="dxa"/>
            <w:tcBorders/>
          </w:tcPr>
          <w:p>
            <w:pPr>
              <w:pStyle w:val="Normal"/>
              <w:rPr/>
            </w:pPr>
            <w:r>
              <w:rPr>
                <w:sz w:val="20"/>
              </w:rPr>
              <w:t xml:space="preserve">EESI's obligation is limited to those customers eligible for standard offer service as of the date of contract execution and excludes customers who may become eligible on account of a change in law thereafter.  T&amp;D will provide to EESI the individual customer information for each customer in the standard offer load being served by EESI or an affiliate as SOP (i.e., name, address, load profile, billing determinants, etc.) ("Customer Information").  If New Renewables Requirements or New Market Products are provided, this will not be done in such fashion as to reduce the standard offer load (i.e., EESI's load serving right and obligation for those customers remains an "all requirements" one and these other products would presumably be sold by into NEPOOL for credit and reconciliation through the ISO-NE settlement process or to a third party purchaser).  The standard offer load obligation excludes any customers that switch to EESI or other competitive suppliers, </w:t>
            </w:r>
            <w:r>
              <w:rPr>
                <w:sz w:val="20"/>
                <w:u w:val="single"/>
              </w:rPr>
              <w:t>provided</w:t>
            </w:r>
            <w:r>
              <w:rPr>
                <w:sz w:val="20"/>
              </w:rPr>
              <w:t xml:space="preserve"> that any "switch fees" paid by such customers are passed through to EESI by T&amp;D.</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This provision also appears in the EPMI/CMP wholesale supply contract in order to prevent shrinkage of the load through changes in market structure or required products where EESI is not assuming that risk.  EESI is taking the volume risk resulting from customer migration to fully competitive supply but should not be required to bear such risk on account of changes in law or regulation from that which existed as of the date the pricing was agreed to.</w:t>
            </w:r>
          </w:p>
          <w:p>
            <w:pPr>
              <w:pStyle w:val="Normal"/>
              <w:rPr>
                <w:b/>
                <w:i/>
                <w:i/>
                <w:sz w:val="20"/>
              </w:rPr>
            </w:pPr>
            <w:r>
              <w:rPr>
                <w:b/>
                <w:i/>
                <w:sz w:val="20"/>
              </w:rPr>
            </w:r>
          </w:p>
        </w:tc>
      </w:tr>
      <w:tr>
        <w:trPr/>
        <w:tc>
          <w:tcPr>
            <w:tcW w:w="3690" w:type="dxa"/>
            <w:tcBorders/>
          </w:tcPr>
          <w:p>
            <w:pPr>
              <w:pStyle w:val="Normal"/>
              <w:rPr>
                <w:b/>
                <w:sz w:val="20"/>
              </w:rPr>
            </w:pPr>
            <w:r>
              <w:rPr>
                <w:b/>
                <w:sz w:val="20"/>
              </w:rPr>
              <w:t>EESI Responsibilities:</w:t>
            </w:r>
          </w:p>
        </w:tc>
        <w:tc>
          <w:tcPr>
            <w:tcW w:w="5778" w:type="dxa"/>
            <w:tcBorders/>
          </w:tcPr>
          <w:p>
            <w:pPr>
              <w:pStyle w:val="Normal"/>
              <w:rPr>
                <w:sz w:val="20"/>
              </w:rPr>
            </w:pPr>
            <w:r>
              <w:rPr>
                <w:sz w:val="20"/>
              </w:rPr>
              <w:t xml:space="preserve">EESI will (i) make all arrangements for and bear all costs of delivery of Provided Products to the Delivery Point(s), including load forecasting; (ii) enter into all NEPOOL/ISO-NE agreements required for full participation therein; (iii) make good faith offers with respect to any New Renewables Requirements or New Market Products where it is reasonably practicable for EESI to do so; (iv) bear all market risk associated with the fixed price standard offer service, including market-based changes in prices of all Provided Products, Renewables Requirements, NEPOOL and ISO-NE obligations and delivery obligations to the Delivery Point(s); (v) bear all risks associated with migration of customers to and from standard offer service, subject to receipt of required "switch fees;" (vi) perform the EESI Customer Care Services; and (vii) provide performance assurance if and to the extent required under the Agreement. </w:t>
            </w:r>
          </w:p>
          <w:p>
            <w:pPr>
              <w:pStyle w:val="Normal"/>
              <w:rPr>
                <w:sz w:val="20"/>
              </w:rPr>
            </w:pPr>
            <w:r>
              <w:rPr>
                <w:sz w:val="20"/>
              </w:rPr>
            </w:r>
          </w:p>
        </w:tc>
      </w:tr>
      <w:tr>
        <w:trPr/>
        <w:tc>
          <w:tcPr>
            <w:tcW w:w="3690" w:type="dxa"/>
            <w:tcBorders/>
          </w:tcPr>
          <w:p>
            <w:pPr>
              <w:pStyle w:val="Normal"/>
              <w:rPr>
                <w:b/>
                <w:sz w:val="20"/>
              </w:rPr>
            </w:pPr>
            <w:r>
              <w:rPr>
                <w:b/>
                <w:sz w:val="20"/>
              </w:rPr>
              <w:t>T&amp;D Responsibilities:</w:t>
            </w:r>
          </w:p>
          <w:p>
            <w:pPr>
              <w:pStyle w:val="Normal"/>
              <w:rPr>
                <w:b/>
                <w:sz w:val="20"/>
              </w:rPr>
            </w:pPr>
            <w:r>
              <w:rPr>
                <w:b/>
                <w:sz w:val="20"/>
              </w:rPr>
            </w:r>
          </w:p>
        </w:tc>
        <w:tc>
          <w:tcPr>
            <w:tcW w:w="5778" w:type="dxa"/>
            <w:tcBorders/>
          </w:tcPr>
          <w:p>
            <w:pPr>
              <w:pStyle w:val="Normal"/>
              <w:rPr>
                <w:sz w:val="20"/>
              </w:rPr>
            </w:pPr>
            <w:r>
              <w:rPr>
                <w:sz w:val="20"/>
              </w:rPr>
              <w:t>T&amp;D will (i) pay the specified ISO-NE Tariff charges allocable to T&amp;D; (ii) be responsible for Regional Network Service under the NEPOOL tariff and Local Network Service under T&amp;D's tariff(s); (iii) provide all delivery service to the standard offer customers; (iv), be responsible for payment to EESI any Market LDs and Termination Payments where provided for in the Agreement; (v) timely provide, upon the reasonable request of EESI, scheduling, load and related information that is reasonably necessary for EESI to efficiently and economically satisfy its obligations under the Agreement, including Customer Information (defined below); (vi) perform the T&amp;D Customer Care Services; and (vii) provide performance assurance if and to the extent required under the Agreement.</w:t>
            </w:r>
          </w:p>
          <w:p>
            <w:pPr>
              <w:pStyle w:val="Normal"/>
              <w:rPr>
                <w:sz w:val="20"/>
              </w:rPr>
            </w:pPr>
            <w:r>
              <w:rPr>
                <w:sz w:val="20"/>
              </w:rPr>
            </w:r>
          </w:p>
        </w:tc>
      </w:tr>
      <w:tr>
        <w:trPr/>
        <w:tc>
          <w:tcPr>
            <w:tcW w:w="3690" w:type="dxa"/>
            <w:tcBorders/>
          </w:tcPr>
          <w:p>
            <w:pPr>
              <w:pStyle w:val="Normal"/>
              <w:rPr>
                <w:sz w:val="20"/>
              </w:rPr>
            </w:pPr>
            <w:r>
              <w:rPr>
                <w:b/>
                <w:sz w:val="20"/>
              </w:rPr>
              <w:t>Failure to Deliver:</w:t>
            </w:r>
          </w:p>
        </w:tc>
        <w:tc>
          <w:tcPr>
            <w:tcW w:w="5778" w:type="dxa"/>
            <w:tcBorders/>
          </w:tcPr>
          <w:p>
            <w:pPr>
              <w:pStyle w:val="Normal"/>
              <w:rPr>
                <w:sz w:val="20"/>
              </w:rPr>
            </w:pPr>
            <w:r>
              <w:rPr>
                <w:sz w:val="20"/>
              </w:rPr>
              <w:t xml:space="preserve">Market LDs (defined as cost of cover). </w:t>
            </w:r>
          </w:p>
          <w:p>
            <w:pPr>
              <w:pStyle w:val="Normal"/>
              <w:rPr>
                <w:sz w:val="20"/>
              </w:rPr>
            </w:pPr>
            <w:r>
              <w:rPr>
                <w:sz w:val="20"/>
              </w:rPr>
            </w:r>
          </w:p>
        </w:tc>
      </w:tr>
      <w:tr>
        <w:trPr/>
        <w:tc>
          <w:tcPr>
            <w:tcW w:w="3690" w:type="dxa"/>
            <w:tcBorders/>
          </w:tcPr>
          <w:p>
            <w:pPr>
              <w:pStyle w:val="Normal"/>
              <w:rPr>
                <w:b/>
                <w:sz w:val="20"/>
              </w:rPr>
            </w:pPr>
            <w:r>
              <w:rPr>
                <w:b/>
                <w:sz w:val="20"/>
              </w:rPr>
              <w:t>Failure to Schedule/Receive:</w:t>
            </w:r>
          </w:p>
        </w:tc>
        <w:tc>
          <w:tcPr>
            <w:tcW w:w="5778" w:type="dxa"/>
            <w:tcBorders/>
          </w:tcPr>
          <w:p>
            <w:pPr>
              <w:pStyle w:val="Normal"/>
              <w:rPr>
                <w:sz w:val="20"/>
              </w:rPr>
            </w:pPr>
            <w:r>
              <w:rPr>
                <w:sz w:val="20"/>
              </w:rPr>
              <w:t>Market LDs (defined as cost of cover).</w:t>
            </w:r>
          </w:p>
          <w:p>
            <w:pPr>
              <w:pStyle w:val="Normal"/>
              <w:rPr>
                <w:sz w:val="20"/>
              </w:rPr>
            </w:pPr>
            <w:r>
              <w:rPr>
                <w:sz w:val="20"/>
              </w:rPr>
            </w:r>
          </w:p>
        </w:tc>
      </w:tr>
      <w:tr>
        <w:trPr/>
        <w:tc>
          <w:tcPr>
            <w:tcW w:w="3690" w:type="dxa"/>
            <w:tcBorders/>
          </w:tcPr>
          <w:p>
            <w:pPr>
              <w:pStyle w:val="Normal"/>
              <w:rPr>
                <w:b/>
                <w:sz w:val="20"/>
              </w:rPr>
            </w:pPr>
            <w:r>
              <w:rPr>
                <w:b/>
                <w:sz w:val="20"/>
              </w:rPr>
              <w:t>Load Forecasting/Reporting:</w:t>
            </w:r>
          </w:p>
        </w:tc>
        <w:tc>
          <w:tcPr>
            <w:tcW w:w="5778" w:type="dxa"/>
            <w:tcBorders/>
          </w:tcPr>
          <w:p>
            <w:pPr>
              <w:pStyle w:val="Normal"/>
              <w:rPr>
                <w:sz w:val="20"/>
              </w:rPr>
            </w:pPr>
            <w:r>
              <w:rPr>
                <w:sz w:val="20"/>
              </w:rPr>
              <w:t>Standard for contracts of this nature.</w:t>
            </w:r>
          </w:p>
          <w:p>
            <w:pPr>
              <w:pStyle w:val="Normal"/>
              <w:rPr>
                <w:sz w:val="20"/>
              </w:rPr>
            </w:pPr>
            <w:r>
              <w:rPr>
                <w:sz w:val="20"/>
              </w:rPr>
            </w:r>
          </w:p>
        </w:tc>
      </w:tr>
      <w:tr>
        <w:trPr/>
        <w:tc>
          <w:tcPr>
            <w:tcW w:w="3690" w:type="dxa"/>
            <w:tcBorders/>
          </w:tcPr>
          <w:p>
            <w:pPr>
              <w:pStyle w:val="Normal"/>
              <w:jc w:val="start"/>
              <w:rPr>
                <w:b/>
                <w:sz w:val="20"/>
              </w:rPr>
            </w:pPr>
            <w:r>
              <w:rPr>
                <w:b/>
                <w:sz w:val="20"/>
              </w:rPr>
              <w:t>Conditions Precedent to EESI Obligations:</w:t>
            </w:r>
          </w:p>
        </w:tc>
        <w:tc>
          <w:tcPr>
            <w:tcW w:w="5778" w:type="dxa"/>
            <w:tcBorders/>
          </w:tcPr>
          <w:p>
            <w:pPr>
              <w:pStyle w:val="Normal"/>
              <w:rPr>
                <w:sz w:val="20"/>
              </w:rPr>
            </w:pPr>
            <w:r>
              <w:rPr>
                <w:sz w:val="20"/>
              </w:rPr>
              <w:t>(i) No change in Maine Law or Regulation or Other Law or Regulation prior to service commencement date; (ii) final order of MPUC acceptable to EESI approving the Agreement and all material provisions thereof, including findings that (A) rate and terms are fixed for entire term and cannot be reevaluated or changed except in circumstances expressly contemplated in the Agreement, and (B) all T&amp;D responsibilities thereunder were prudently undertaken.  Nothing in the Agreement shall prohibit, restrict or limit EESI’s right or its affiliate’s right to be a competitive electricity provider to any individuals or businesses in Maine as EESI would otherwise be entitled to absent this Agreement.</w:t>
            </w:r>
          </w:p>
          <w:p>
            <w:pPr>
              <w:pStyle w:val="Normal"/>
              <w:rPr>
                <w:sz w:val="20"/>
              </w:rPr>
            </w:pPr>
            <w:r>
              <w:rPr>
                <w:sz w:val="20"/>
              </w:rPr>
            </w:r>
          </w:p>
        </w:tc>
      </w:tr>
      <w:tr>
        <w:trPr/>
        <w:tc>
          <w:tcPr>
            <w:tcW w:w="3690" w:type="dxa"/>
            <w:tcBorders/>
          </w:tcPr>
          <w:p>
            <w:pPr>
              <w:pStyle w:val="Normal"/>
              <w:rPr>
                <w:b/>
                <w:sz w:val="20"/>
              </w:rPr>
            </w:pPr>
            <w:r>
              <w:rPr>
                <w:b/>
                <w:sz w:val="20"/>
              </w:rPr>
              <w:t>Representations &amp; Warranties:</w:t>
            </w:r>
          </w:p>
        </w:tc>
        <w:tc>
          <w:tcPr>
            <w:tcW w:w="5778" w:type="dxa"/>
            <w:tcBorders/>
          </w:tcPr>
          <w:p>
            <w:pPr>
              <w:pStyle w:val="Normal"/>
              <w:rPr>
                <w:sz w:val="20"/>
              </w:rPr>
            </w:pPr>
            <w:r>
              <w:rPr>
                <w:sz w:val="20"/>
              </w:rPr>
              <w:t>Standard for transactions of this nature, plus T&amp;D to represent and warrant standard offer load information, disclosure of knowledge of potential changes, etc.</w:t>
            </w:r>
          </w:p>
          <w:p>
            <w:pPr>
              <w:pStyle w:val="Normal"/>
              <w:rPr>
                <w:sz w:val="20"/>
              </w:rPr>
            </w:pPr>
            <w:r>
              <w:rPr>
                <w:sz w:val="20"/>
              </w:rPr>
            </w:r>
          </w:p>
        </w:tc>
      </w:tr>
      <w:tr>
        <w:trPr/>
        <w:tc>
          <w:tcPr>
            <w:tcW w:w="3690" w:type="dxa"/>
            <w:tcBorders/>
          </w:tcPr>
          <w:p>
            <w:pPr>
              <w:pStyle w:val="Normal"/>
              <w:rPr>
                <w:b/>
                <w:sz w:val="20"/>
              </w:rPr>
            </w:pPr>
            <w:r>
              <w:rPr>
                <w:b/>
                <w:sz w:val="20"/>
              </w:rPr>
              <w:t>Indemnification:</w:t>
            </w:r>
          </w:p>
        </w:tc>
        <w:tc>
          <w:tcPr>
            <w:tcW w:w="5778" w:type="dxa"/>
            <w:tcBorders/>
          </w:tcPr>
          <w:p>
            <w:pPr>
              <w:pStyle w:val="Normal"/>
              <w:rPr>
                <w:sz w:val="20"/>
              </w:rPr>
            </w:pPr>
            <w:r>
              <w:rPr>
                <w:sz w:val="20"/>
              </w:rPr>
              <w:t>Standard for transactions of this nature, plus mutual, reciprocal indemnity for events prior to and after the Delivery Point(s) and T&amp;D to indemnify EESI on account of any third party claims arising from exercise of EESI Change in Maine Law or Regulation termination rights.</w:t>
            </w:r>
          </w:p>
          <w:p>
            <w:pPr>
              <w:pStyle w:val="Normal"/>
              <w:rPr>
                <w:sz w:val="20"/>
              </w:rPr>
            </w:pPr>
            <w:r>
              <w:rPr>
                <w:sz w:val="20"/>
              </w:rPr>
            </w:r>
          </w:p>
        </w:tc>
      </w:tr>
      <w:tr>
        <w:trPr/>
        <w:tc>
          <w:tcPr>
            <w:tcW w:w="3690" w:type="dxa"/>
            <w:tcBorders/>
          </w:tcPr>
          <w:p>
            <w:pPr>
              <w:pStyle w:val="Normal"/>
              <w:rPr>
                <w:b/>
                <w:sz w:val="20"/>
              </w:rPr>
            </w:pPr>
            <w:r>
              <w:rPr>
                <w:b/>
                <w:sz w:val="20"/>
              </w:rPr>
              <w:t>Billing and Payment:</w:t>
            </w:r>
          </w:p>
        </w:tc>
        <w:tc>
          <w:tcPr>
            <w:tcW w:w="5778" w:type="dxa"/>
            <w:tcBorders/>
          </w:tcPr>
          <w:p>
            <w:pPr>
              <w:pStyle w:val="Normal"/>
              <w:rPr>
                <w:sz w:val="20"/>
              </w:rPr>
            </w:pPr>
            <w:r>
              <w:rPr>
                <w:sz w:val="20"/>
              </w:rPr>
              <w:t>10 days after invoice via electronic transfer.  Interest on all overdue, disputed or otherwise unpaid amounts at prime plus 2%.</w:t>
            </w:r>
          </w:p>
          <w:p>
            <w:pPr>
              <w:pStyle w:val="Normal"/>
              <w:rPr>
                <w:sz w:val="20"/>
              </w:rPr>
            </w:pPr>
            <w:r>
              <w:rPr>
                <w:sz w:val="20"/>
              </w:rPr>
            </w:r>
          </w:p>
        </w:tc>
      </w:tr>
      <w:tr>
        <w:trPr/>
        <w:tc>
          <w:tcPr>
            <w:tcW w:w="3690" w:type="dxa"/>
            <w:tcBorders/>
          </w:tcPr>
          <w:p>
            <w:pPr>
              <w:pStyle w:val="Normal"/>
              <w:rPr>
                <w:b/>
                <w:sz w:val="20"/>
              </w:rPr>
            </w:pPr>
            <w:r>
              <w:rPr>
                <w:b/>
                <w:sz w:val="20"/>
              </w:rPr>
              <w:t>Taxes:</w:t>
            </w:r>
          </w:p>
        </w:tc>
        <w:tc>
          <w:tcPr>
            <w:tcW w:w="5778" w:type="dxa"/>
            <w:tcBorders/>
          </w:tcPr>
          <w:p>
            <w:pPr>
              <w:pStyle w:val="Normal"/>
              <w:rPr/>
            </w:pPr>
            <w:r>
              <w:rPr>
                <w:sz w:val="20"/>
              </w:rPr>
              <w:t xml:space="preserve">T&amp;D to collect and remit Maine sales tax.  EESI responsible for all taxes on energy and other Provided Products prior to Delivery Point; T&amp;D responsible for all taxes thereafter and other taxes.  New taxes will be allocated per the foregoing, </w:t>
            </w:r>
            <w:r>
              <w:rPr>
                <w:sz w:val="20"/>
                <w:u w:val="single"/>
              </w:rPr>
              <w:t>provided</w:t>
            </w:r>
            <w:r>
              <w:rPr>
                <w:sz w:val="20"/>
              </w:rPr>
              <w:t xml:space="preserve"> that any new state or local tax which is primarily or exclusively directed at energy suppliers ("New Energy Tax") would be T&amp;D's responsibility [or would constitute a Change in Maine Law or Regulation hereunder].</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pPr>
            <w:r>
              <w:rPr>
                <w:b/>
                <w:i/>
                <w:sz w:val="20"/>
              </w:rPr>
              <w:t>This takes a similar but more limited approach as for changes in law; that is, EESI takes the risk of federal (and other) tax law changes and also Maine-specific risk but not to the extent of Maine tax increases which are specifically "aimed" at energy suppliers (</w:t>
            </w:r>
            <w:r>
              <w:rPr>
                <w:b/>
                <w:i/>
                <w:sz w:val="20"/>
                <w:u w:val="single"/>
              </w:rPr>
              <w:t>e.g.</w:t>
            </w:r>
            <w:r>
              <w:rPr>
                <w:b/>
                <w:i/>
                <w:sz w:val="20"/>
              </w:rPr>
              <w:t xml:space="preserve">, a retail version of the California-style windfall profits tax).  </w:t>
            </w:r>
          </w:p>
          <w:p>
            <w:pPr>
              <w:pStyle w:val="Normal"/>
              <w:rPr>
                <w:b/>
                <w:i/>
                <w:i/>
                <w:sz w:val="20"/>
              </w:rPr>
            </w:pPr>
            <w:r>
              <w:rPr>
                <w:b/>
                <w:i/>
                <w:sz w:val="20"/>
              </w:rPr>
            </w:r>
          </w:p>
        </w:tc>
      </w:tr>
      <w:tr>
        <w:trPr/>
        <w:tc>
          <w:tcPr>
            <w:tcW w:w="3690" w:type="dxa"/>
            <w:tcBorders/>
          </w:tcPr>
          <w:p>
            <w:pPr>
              <w:pStyle w:val="Normal"/>
              <w:rPr>
                <w:b/>
                <w:sz w:val="20"/>
              </w:rPr>
            </w:pPr>
            <w:r>
              <w:rPr>
                <w:b/>
                <w:sz w:val="20"/>
              </w:rPr>
              <w:t>Events of Default:</w:t>
            </w:r>
          </w:p>
        </w:tc>
        <w:tc>
          <w:tcPr>
            <w:tcW w:w="5778" w:type="dxa"/>
            <w:tcBorders/>
          </w:tcPr>
          <w:p>
            <w:pPr>
              <w:pStyle w:val="Normal"/>
              <w:rPr>
                <w:sz w:val="20"/>
              </w:rPr>
            </w:pPr>
            <w:r>
              <w:rPr>
                <w:sz w:val="20"/>
              </w:rPr>
              <w:t>Standard for contracts of this nature, plus additional events as expressly specified herein.</w:t>
            </w:r>
          </w:p>
          <w:p>
            <w:pPr>
              <w:pStyle w:val="Normal"/>
              <w:rPr>
                <w:sz w:val="20"/>
              </w:rPr>
            </w:pPr>
            <w:r>
              <w:rPr>
                <w:sz w:val="20"/>
              </w:rPr>
            </w:r>
          </w:p>
        </w:tc>
      </w:tr>
      <w:tr>
        <w:trPr/>
        <w:tc>
          <w:tcPr>
            <w:tcW w:w="3690" w:type="dxa"/>
            <w:tcBorders/>
          </w:tcPr>
          <w:p>
            <w:pPr>
              <w:pStyle w:val="Normal"/>
              <w:rPr>
                <w:b/>
                <w:sz w:val="20"/>
              </w:rPr>
            </w:pPr>
            <w:r>
              <w:rPr>
                <w:b/>
                <w:sz w:val="20"/>
              </w:rPr>
              <w:t>Termination:</w:t>
            </w:r>
          </w:p>
        </w:tc>
        <w:tc>
          <w:tcPr>
            <w:tcW w:w="5778" w:type="dxa"/>
            <w:tcBorders/>
          </w:tcPr>
          <w:p>
            <w:pPr>
              <w:pStyle w:val="Normal"/>
              <w:rPr>
                <w:sz w:val="20"/>
              </w:rPr>
            </w:pPr>
            <w:r>
              <w:rPr>
                <w:sz w:val="20"/>
              </w:rPr>
              <w:t>Standard for contracts of this nature, and including on account of Change in Maine Law or Regulation or occurrence of event where EESI is effectively required to provide New Market Products, comply with New Renewables Requirements or bear the risk of New Taxes without adequate provision for reimbursement.</w:t>
            </w:r>
          </w:p>
          <w:p>
            <w:pPr>
              <w:pStyle w:val="Normal"/>
              <w:rPr>
                <w:sz w:val="20"/>
              </w:rPr>
            </w:pPr>
            <w:r>
              <w:rPr>
                <w:sz w:val="20"/>
              </w:rPr>
            </w:r>
          </w:p>
        </w:tc>
      </w:tr>
      <w:tr>
        <w:trPr/>
        <w:tc>
          <w:tcPr>
            <w:tcW w:w="3690" w:type="dxa"/>
            <w:tcBorders/>
          </w:tcPr>
          <w:p>
            <w:pPr>
              <w:pStyle w:val="Normal"/>
              <w:rPr>
                <w:b/>
                <w:sz w:val="20"/>
              </w:rPr>
            </w:pPr>
            <w:r>
              <w:rPr>
                <w:b/>
                <w:sz w:val="20"/>
              </w:rPr>
              <w:t>Remedies:</w:t>
            </w:r>
          </w:p>
        </w:tc>
        <w:tc>
          <w:tcPr>
            <w:tcW w:w="5778" w:type="dxa"/>
            <w:tcBorders/>
          </w:tcPr>
          <w:p>
            <w:pPr>
              <w:pStyle w:val="Normal"/>
              <w:rPr>
                <w:sz w:val="20"/>
              </w:rPr>
            </w:pPr>
            <w:r>
              <w:rPr>
                <w:sz w:val="20"/>
              </w:rPr>
              <w:t>Standard for contracts of this nature, including suspension of performance and collection of single, net termination payment on account of all obligations as of termination date.</w:t>
            </w:r>
          </w:p>
          <w:p>
            <w:pPr>
              <w:pStyle w:val="Normal"/>
              <w:rPr>
                <w:sz w:val="20"/>
              </w:rPr>
            </w:pPr>
            <w:r>
              <w:rPr>
                <w:sz w:val="20"/>
              </w:rPr>
            </w:r>
          </w:p>
        </w:tc>
      </w:tr>
      <w:tr>
        <w:trPr/>
        <w:tc>
          <w:tcPr>
            <w:tcW w:w="3690" w:type="dxa"/>
            <w:tcBorders/>
          </w:tcPr>
          <w:p>
            <w:pPr>
              <w:pStyle w:val="Normal"/>
              <w:rPr>
                <w:b/>
                <w:sz w:val="20"/>
              </w:rPr>
            </w:pPr>
            <w:r>
              <w:rPr>
                <w:b/>
                <w:sz w:val="20"/>
              </w:rPr>
              <w:t>Termination Payments:</w:t>
            </w:r>
          </w:p>
        </w:tc>
        <w:tc>
          <w:tcPr>
            <w:tcW w:w="5778" w:type="dxa"/>
            <w:tcBorders/>
          </w:tcPr>
          <w:p>
            <w:pPr>
              <w:pStyle w:val="Normal"/>
              <w:rPr>
                <w:sz w:val="20"/>
              </w:rPr>
            </w:pPr>
            <w:r>
              <w:rPr>
                <w:sz w:val="20"/>
              </w:rPr>
              <w:t>Standard power contract/EEI Master "gains," "losses" and "costs" settlement amount concept, with netting and "in the money" party entitled to receive payment regardless of which party is terminating party (i.e., "two-way" settlement damages).</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This is a "two way" termination payment provision, i.e., if EESI elects to terminate on account of being subjected to regulation even though it is not then "in the money" (and T&amp;D does not elect the conversion option) EESI would pay a termination payment to T&amp;D making T&amp;D (and hence the standard offer customers) whole on account of such termination.</w:t>
            </w:r>
          </w:p>
          <w:p>
            <w:pPr>
              <w:pStyle w:val="Normal"/>
              <w:rPr>
                <w:b/>
                <w:i/>
                <w:i/>
                <w:sz w:val="20"/>
              </w:rPr>
            </w:pPr>
            <w:r>
              <w:rPr>
                <w:b/>
                <w:i/>
                <w:sz w:val="20"/>
              </w:rPr>
            </w:r>
          </w:p>
        </w:tc>
      </w:tr>
      <w:tr>
        <w:trPr/>
        <w:tc>
          <w:tcPr>
            <w:tcW w:w="3690" w:type="dxa"/>
            <w:tcBorders/>
          </w:tcPr>
          <w:p>
            <w:pPr>
              <w:pStyle w:val="Normal"/>
              <w:rPr>
                <w:sz w:val="20"/>
              </w:rPr>
            </w:pPr>
            <w:r>
              <w:rPr>
                <w:b/>
                <w:sz w:val="20"/>
              </w:rPr>
              <w:t>Performance Assurance:</w:t>
            </w:r>
          </w:p>
        </w:tc>
        <w:tc>
          <w:tcPr>
            <w:tcW w:w="5778" w:type="dxa"/>
            <w:tcBorders/>
          </w:tcPr>
          <w:p>
            <w:pPr>
              <w:pStyle w:val="Normal"/>
              <w:rPr>
                <w:sz w:val="20"/>
              </w:rPr>
            </w:pPr>
            <w:r>
              <w:rPr>
                <w:sz w:val="20"/>
              </w:rPr>
              <w:t>EESI: Enron Corp. guaranty.</w:t>
            </w:r>
          </w:p>
          <w:p>
            <w:pPr>
              <w:pStyle w:val="Normal"/>
              <w:rPr>
                <w:sz w:val="20"/>
              </w:rPr>
            </w:pPr>
            <w:r>
              <w:rPr>
                <w:sz w:val="20"/>
              </w:rPr>
              <w:t>T&amp;D: [tbd]</w:t>
            </w:r>
          </w:p>
          <w:p>
            <w:pPr>
              <w:pStyle w:val="Normal"/>
              <w:rPr>
                <w:sz w:val="20"/>
              </w:rPr>
            </w:pPr>
            <w:r>
              <w:rPr>
                <w:sz w:val="20"/>
              </w:rPr>
            </w:r>
          </w:p>
        </w:tc>
      </w:tr>
      <w:tr>
        <w:trPr/>
        <w:tc>
          <w:tcPr>
            <w:tcW w:w="3690" w:type="dxa"/>
            <w:tcBorders/>
          </w:tcPr>
          <w:p>
            <w:pPr>
              <w:pStyle w:val="Normal"/>
              <w:rPr>
                <w:b/>
                <w:sz w:val="20"/>
              </w:rPr>
            </w:pPr>
            <w:r>
              <w:rPr>
                <w:b/>
                <w:sz w:val="20"/>
              </w:rPr>
              <w:t>Dispute Resolution:</w:t>
            </w:r>
          </w:p>
        </w:tc>
        <w:tc>
          <w:tcPr>
            <w:tcW w:w="5778" w:type="dxa"/>
            <w:tcBorders/>
          </w:tcPr>
          <w:p>
            <w:pPr>
              <w:pStyle w:val="Normal"/>
              <w:rPr>
                <w:sz w:val="20"/>
              </w:rPr>
            </w:pPr>
            <w:r>
              <w:rPr>
                <w:sz w:val="20"/>
              </w:rPr>
              <w:t>AAA Arbitration with 3 arbitrators, the third a "neutral" with relevant experience.</w:t>
            </w:r>
          </w:p>
          <w:p>
            <w:pPr>
              <w:pStyle w:val="Normal"/>
              <w:rPr>
                <w:sz w:val="20"/>
              </w:rPr>
            </w:pPr>
            <w:r>
              <w:rPr>
                <w:sz w:val="20"/>
              </w:rPr>
            </w:r>
          </w:p>
        </w:tc>
      </w:tr>
      <w:tr>
        <w:trPr/>
        <w:tc>
          <w:tcPr>
            <w:tcW w:w="3690" w:type="dxa"/>
            <w:tcBorders/>
          </w:tcPr>
          <w:p>
            <w:pPr>
              <w:pStyle w:val="Normal"/>
              <w:rPr>
                <w:b/>
                <w:sz w:val="20"/>
              </w:rPr>
            </w:pPr>
            <w:r>
              <w:rPr>
                <w:b/>
                <w:sz w:val="20"/>
              </w:rPr>
              <w:t>Assignment:</w:t>
            </w:r>
          </w:p>
        </w:tc>
        <w:tc>
          <w:tcPr>
            <w:tcW w:w="5778" w:type="dxa"/>
            <w:tcBorders/>
          </w:tcPr>
          <w:p>
            <w:pPr>
              <w:pStyle w:val="BodyText3"/>
              <w:rPr>
                <w:sz w:val="20"/>
              </w:rPr>
            </w:pPr>
            <w:r>
              <w:rPr>
                <w:sz w:val="20"/>
              </w:rPr>
              <w:t xml:space="preserve">Standard for contracts of this nature, plus EESI right to assign (i) proceeds and otherwise for financing purposes, (ii) to an affiliate, (iii) to purchaser of all or substantially all of EESI assets and (iv) to financially responsible "qualified entity." </w:t>
            </w:r>
          </w:p>
          <w:p>
            <w:pPr>
              <w:pStyle w:val="Normal"/>
              <w:rPr>
                <w:sz w:val="20"/>
              </w:rPr>
            </w:pPr>
            <w:r>
              <w:rPr>
                <w:sz w:val="20"/>
              </w:rPr>
            </w:r>
          </w:p>
        </w:tc>
      </w:tr>
      <w:tr>
        <w:trPr/>
        <w:tc>
          <w:tcPr>
            <w:tcW w:w="3690" w:type="dxa"/>
            <w:tcBorders/>
          </w:tcPr>
          <w:p>
            <w:pPr>
              <w:pStyle w:val="Normal"/>
              <w:rPr>
                <w:b/>
                <w:sz w:val="20"/>
              </w:rPr>
            </w:pPr>
            <w:r>
              <w:rPr>
                <w:b/>
                <w:sz w:val="20"/>
              </w:rPr>
              <w:t>Governing Law:</w:t>
            </w:r>
          </w:p>
        </w:tc>
        <w:tc>
          <w:tcPr>
            <w:tcW w:w="5778" w:type="dxa"/>
            <w:tcBorders/>
          </w:tcPr>
          <w:p>
            <w:pPr>
              <w:pStyle w:val="Normal"/>
              <w:rPr>
                <w:sz w:val="20"/>
              </w:rPr>
            </w:pPr>
            <w:r>
              <w:rPr>
                <w:sz w:val="20"/>
              </w:rPr>
              <w:t>Maine</w:t>
            </w:r>
          </w:p>
          <w:p>
            <w:pPr>
              <w:pStyle w:val="Normal"/>
              <w:rPr>
                <w:sz w:val="20"/>
              </w:rPr>
            </w:pPr>
            <w:r>
              <w:rPr>
                <w:sz w:val="20"/>
              </w:rPr>
            </w:r>
          </w:p>
        </w:tc>
      </w:tr>
      <w:tr>
        <w:trPr/>
        <w:tc>
          <w:tcPr>
            <w:tcW w:w="3690" w:type="dxa"/>
            <w:tcBorders/>
          </w:tcPr>
          <w:p>
            <w:pPr>
              <w:pStyle w:val="Normal"/>
              <w:rPr>
                <w:b/>
                <w:sz w:val="20"/>
              </w:rPr>
            </w:pPr>
            <w:r>
              <w:rPr>
                <w:b/>
                <w:sz w:val="20"/>
              </w:rPr>
              <w:t>Forward Contract:</w:t>
            </w:r>
          </w:p>
        </w:tc>
        <w:tc>
          <w:tcPr>
            <w:tcW w:w="5778" w:type="dxa"/>
            <w:tcBorders/>
          </w:tcPr>
          <w:p>
            <w:pPr>
              <w:pStyle w:val="Normal"/>
              <w:rPr>
                <w:sz w:val="20"/>
              </w:rPr>
            </w:pPr>
            <w:r>
              <w:rPr>
                <w:sz w:val="20"/>
              </w:rPr>
              <w:t>The Agreement will provide that it is a "forward contract" as defined under the Bankruptcy Code.</w:t>
            </w:r>
          </w:p>
          <w:p>
            <w:pPr>
              <w:pStyle w:val="Normal"/>
              <w:rPr>
                <w:sz w:val="20"/>
              </w:rPr>
            </w:pPr>
            <w:r>
              <w:rPr>
                <w:sz w:val="20"/>
              </w:rPr>
            </w:r>
          </w:p>
        </w:tc>
      </w:tr>
      <w:tr>
        <w:trPr/>
        <w:tc>
          <w:tcPr>
            <w:tcW w:w="3690" w:type="dxa"/>
            <w:tcBorders/>
          </w:tcPr>
          <w:p>
            <w:pPr>
              <w:pStyle w:val="Normal"/>
              <w:rPr>
                <w:b/>
                <w:sz w:val="20"/>
              </w:rPr>
            </w:pPr>
            <w:r>
              <w:rPr>
                <w:b/>
                <w:sz w:val="20"/>
              </w:rPr>
              <w:t>Further Assurances:</w:t>
            </w:r>
          </w:p>
        </w:tc>
        <w:tc>
          <w:tcPr>
            <w:tcW w:w="5778" w:type="dxa"/>
            <w:tcBorders/>
          </w:tcPr>
          <w:p>
            <w:pPr>
              <w:pStyle w:val="Normal"/>
              <w:rPr>
                <w:sz w:val="20"/>
              </w:rPr>
            </w:pPr>
            <w:r>
              <w:rPr>
                <w:sz w:val="20"/>
              </w:rPr>
              <w:t>Standard for contracts of this nature, plus customary restrictions on the right of either party to make unilateral filings with FERC, MPUC or otherwise to seek or support changes to pricing or other material terms, except as expressly provided for.</w:t>
            </w:r>
          </w:p>
          <w:p>
            <w:pPr>
              <w:pStyle w:val="Normal"/>
              <w:rPr>
                <w:sz w:val="20"/>
              </w:rPr>
            </w:pPr>
            <w:r>
              <w:rPr>
                <w:sz w:val="20"/>
              </w:rPr>
              <w:t xml:space="preserve"> </w:t>
            </w:r>
          </w:p>
        </w:tc>
      </w:tr>
      <w:tr>
        <w:trPr/>
        <w:tc>
          <w:tcPr>
            <w:tcW w:w="3690" w:type="dxa"/>
            <w:tcBorders/>
          </w:tcPr>
          <w:p>
            <w:pPr>
              <w:pStyle w:val="Normal"/>
              <w:rPr>
                <w:b/>
                <w:sz w:val="20"/>
              </w:rPr>
            </w:pPr>
            <w:r>
              <w:rPr>
                <w:b/>
                <w:sz w:val="20"/>
              </w:rPr>
              <w:t>Entire Agreement:</w:t>
            </w:r>
          </w:p>
        </w:tc>
        <w:tc>
          <w:tcPr>
            <w:tcW w:w="5778" w:type="dxa"/>
            <w:tcBorders/>
          </w:tcPr>
          <w:p>
            <w:pPr>
              <w:pStyle w:val="Normal"/>
              <w:rPr>
                <w:sz w:val="20"/>
              </w:rPr>
            </w:pPr>
            <w:r>
              <w:rPr>
                <w:sz w:val="20"/>
              </w:rPr>
              <w:t>All of the parties' rights and obligations will be fully reflected entirely within the Agreement itself and the final order of the MPUC approving it and no other documents, including Precepts, RFB materials, statement of commitment, etc. will be part of the Agreement except only to the extent and for the purpose expressly set forth therein.</w:t>
            </w:r>
          </w:p>
          <w:p>
            <w:pPr>
              <w:pStyle w:val="Normal"/>
              <w:rPr>
                <w:sz w:val="20"/>
              </w:rPr>
            </w:pPr>
            <w:r>
              <w:rPr>
                <w:sz w:val="20"/>
              </w:rPr>
            </w:r>
          </w:p>
        </w:tc>
      </w:tr>
    </w:tbl>
    <w:p>
      <w:pPr>
        <w:pStyle w:val="Normal"/>
        <w:rPr>
          <w:sz w:val="20"/>
        </w:rPr>
      </w:pPr>
      <w:r>
        <w:rPr>
          <w:sz w:val="20"/>
        </w:rPr>
      </w:r>
    </w:p>
    <w:p>
      <w:pPr>
        <w:pStyle w:val="Normal"/>
        <w:rPr>
          <w:sz w:val="20"/>
        </w:rPr>
      </w:pPr>
      <w:r>
        <w:rPr>
          <w:sz w:val="20"/>
        </w:rPr>
        <w:t>THE TERMS SET FORTH IN THIS TERM SHEET ARE INDICATIVE ONLY, AND ARE SUBJECT TO CHANGE UNTIL, IF EVER, A DEFINITIVE AGREEMENT RELATING TO THE PROPOSED TRANSACTION(S) IS EXECUTED.  THIS TERM SHEET IS NOT INTENDED TO CREATE A BINDING OR ENFORCEABLE CONTRACT OR COMMITMENT AND MAY NOT BE RELIED UPON BY ANY PERSON OR ENTITY AS A BASIS FOR A CONTRACT BY ESTOPPEL OR OTHERWISE.  CONSUMMATION OF ANY TRANSACTION IS SUBJECT TO, AMONG OTHER MATTERS, THE FOLLOWING CONDITIONS:  (i) COMPLETION OF A DUE DILIGENCE REVIEW SATISFACTORY TO EESI IN ITS SOLE DISCRETION, (ii) RECEIPT OF ALL NECESSARY OR ADVISABLE REGULATORY OR OTHER APPROVALS OR CONSENTS, (iii) APPROVAL BY THE BOARD OF DIRECTORS OF EESI, ITS DESIGNEES AND AFFILIATES, AND (iv) NEGOTIATION, EXECUTION AND DELIVERY OF APPLICABLE DEFINITIVE AGREEMENTS.</w:t>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pStyle w:val="Normal"/>
        <w:rPr>
          <w:sz w:val="20"/>
        </w:rPr>
      </w:pPr>
      <w:r>
        <w:rPr>
          <w:sz w:val="20"/>
        </w:rPr>
      </w:r>
    </w:p>
    <w:p>
      <w:pPr>
        <w:pStyle w:val="Normal"/>
        <w:rPr>
          <w:sz w:val="20"/>
        </w:rPr>
      </w:pPr>
      <w:r>
        <w:rPr>
          <w:sz w:val="20"/>
        </w:rPr>
      </w:r>
    </w:p>
    <w:p>
      <w:pPr>
        <w:pStyle w:val="Heading"/>
        <w:rPr>
          <w:sz w:val="20"/>
        </w:rPr>
      </w:pPr>
      <w:r>
        <w:rPr>
          <w:sz w:val="20"/>
        </w:rPr>
        <w:t xml:space="preserve">EXHIBIT A </w:t>
      </w:r>
    </w:p>
    <w:p>
      <w:pPr>
        <w:pStyle w:val="Heading"/>
        <w:rPr>
          <w:sz w:val="20"/>
        </w:rPr>
      </w:pPr>
      <w:r>
        <w:rPr>
          <w:sz w:val="20"/>
        </w:rPr>
        <w:t>PRECEPTS</w:t>
      </w:r>
    </w:p>
    <w:p>
      <w:pPr>
        <w:pStyle w:val="Heading"/>
        <w:rPr>
          <w:sz w:val="20"/>
        </w:rPr>
      </w:pPr>
      <w:r>
        <w:rPr>
          <w:sz w:val="20"/>
        </w:rPr>
      </w:r>
    </w:p>
    <w:p>
      <w:pPr>
        <w:pStyle w:val="Normal"/>
        <w:rPr>
          <w:sz w:val="20"/>
        </w:rPr>
      </w:pPr>
      <w:r>
        <w:rPr>
          <w:sz w:val="20"/>
        </w:rPr>
        <w:t>The Precepts encompassed in this Agreement include the following, but are not limited to:</w:t>
      </w:r>
    </w:p>
    <w:p>
      <w:pPr>
        <w:pStyle w:val="BodyText"/>
        <w:rPr/>
      </w:pPr>
      <w:r>
        <w:rPr>
          <w:rFonts w:cs="Lucida Console" w:ascii="Lucida Console" w:hAnsi="Lucida Console"/>
          <w:sz w:val="20"/>
        </w:rPr>
        <w:t>·</w:t>
      </w:r>
      <w:r>
        <w:rPr>
          <w:sz w:val="20"/>
        </w:rPr>
        <w:tab/>
        <w:t xml:space="preserve">Maine's Restructuring Act: Chapter 316 codified as 35-A M.R.S.A §§ 3201-3217 </w:t>
      </w:r>
    </w:p>
    <w:p>
      <w:pPr>
        <w:pStyle w:val="BodyText"/>
        <w:rPr/>
      </w:pPr>
      <w:r>
        <w:rPr>
          <w:rFonts w:cs="Lucida Console" w:ascii="Lucida Console" w:hAnsi="Lucida Console"/>
          <w:sz w:val="20"/>
        </w:rPr>
        <w:t>·</w:t>
      </w:r>
      <w:r>
        <w:rPr>
          <w:sz w:val="20"/>
        </w:rPr>
        <w:tab/>
        <w:t>Maine Public Utilities Commission Rules and Regulations:</w:t>
      </w:r>
    </w:p>
    <w:p>
      <w:pPr>
        <w:pStyle w:val="BodyText2"/>
        <w:rPr/>
      </w:pPr>
      <w:r>
        <w:rPr>
          <w:b/>
          <w:sz w:val="20"/>
        </w:rPr>
        <w:t>Chapter 301</w:t>
      </w:r>
      <w:r>
        <w:rPr>
          <w:sz w:val="20"/>
        </w:rPr>
        <w:tab/>
        <w:t>Standard Offer Service</w:t>
      </w:r>
    </w:p>
    <w:p>
      <w:pPr>
        <w:pStyle w:val="BodyText2"/>
        <w:rPr/>
      </w:pPr>
      <w:r>
        <w:rPr>
          <w:b/>
          <w:sz w:val="20"/>
        </w:rPr>
        <w:t>Chapter 305</w:t>
      </w:r>
      <w:r>
        <w:rPr>
          <w:sz w:val="20"/>
        </w:rPr>
        <w:tab/>
        <w:t>Licensing Requirements, Annual Reporting, Enforcement and Consumer Protection Provisions for Competitive Provision of Electricity</w:t>
      </w:r>
    </w:p>
    <w:p>
      <w:pPr>
        <w:pStyle w:val="BodyText2"/>
        <w:rPr/>
      </w:pPr>
      <w:r>
        <w:rPr>
          <w:b/>
          <w:sz w:val="20"/>
        </w:rPr>
        <w:t>Chapter 306</w:t>
      </w:r>
      <w:r>
        <w:rPr>
          <w:sz w:val="20"/>
        </w:rPr>
        <w:tab/>
        <w:t>Uniform Information Disclosure and Informational Filing Requirement</w:t>
      </w:r>
    </w:p>
    <w:p>
      <w:pPr>
        <w:pStyle w:val="BodyText2"/>
        <w:rPr/>
      </w:pPr>
      <w:r>
        <w:rPr>
          <w:b/>
          <w:sz w:val="20"/>
        </w:rPr>
        <w:t>Chapter 321</w:t>
      </w:r>
      <w:r>
        <w:rPr>
          <w:sz w:val="20"/>
        </w:rPr>
        <w:tab/>
        <w:t>Load obligation and Settlement Calculations for Competitive Providers of Electricity</w:t>
      </w:r>
    </w:p>
    <w:p>
      <w:pPr>
        <w:pStyle w:val="BodyText2"/>
        <w:rPr/>
      </w:pPr>
      <w:r>
        <w:rPr>
          <w:b/>
          <w:sz w:val="20"/>
        </w:rPr>
        <w:t>Chapter 322</w:t>
      </w:r>
      <w:r>
        <w:rPr>
          <w:sz w:val="20"/>
        </w:rPr>
        <w:tab/>
        <w:t>Metering, Billing Collections and Enrollment Interactions Among Transmission and Distribution Utilities and Competitive Providers of Electricity</w:t>
      </w:r>
    </w:p>
    <w:p>
      <w:pPr>
        <w:pStyle w:val="BodyText2"/>
        <w:rPr/>
      </w:pPr>
      <w:r>
        <w:rPr>
          <w:b/>
          <w:sz w:val="20"/>
        </w:rPr>
        <w:t>Chapter 320</w:t>
      </w:r>
      <w:r>
        <w:rPr>
          <w:sz w:val="20"/>
        </w:rPr>
        <w:tab/>
        <w:t>Service Standards of Electric Utilities</w:t>
      </w:r>
    </w:p>
    <w:p>
      <w:pPr>
        <w:pStyle w:val="BodyText2"/>
        <w:rPr/>
      </w:pPr>
      <w:r>
        <w:rPr>
          <w:b/>
          <w:sz w:val="20"/>
        </w:rPr>
        <w:t>Chapter 81</w:t>
      </w:r>
      <w:r>
        <w:rPr>
          <w:sz w:val="20"/>
        </w:rPr>
        <w:tab/>
        <w:t>Residential Utility Service Standards for Credit and Collection Programs</w:t>
      </w:r>
    </w:p>
    <w:p>
      <w:pPr>
        <w:pStyle w:val="BodyText2"/>
        <w:rPr/>
      </w:pPr>
      <w:r>
        <w:rPr>
          <w:b/>
          <w:sz w:val="20"/>
        </w:rPr>
        <w:t>Chapter 86</w:t>
      </w:r>
      <w:r>
        <w:rPr>
          <w:sz w:val="20"/>
        </w:rPr>
        <w:tab/>
        <w:t>Disconnection and Deposit Regulations for Non-Residential Utility Service</w:t>
      </w:r>
    </w:p>
    <w:p>
      <w:pPr>
        <w:pStyle w:val="BodyText2"/>
        <w:rPr/>
      </w:pPr>
      <w:r>
        <w:rPr>
          <w:b/>
          <w:sz w:val="20"/>
        </w:rPr>
        <w:t>Chapter 870</w:t>
      </w:r>
      <w:r>
        <w:rPr>
          <w:sz w:val="20"/>
        </w:rPr>
        <w:tab/>
        <w:t>Late Payment Charges, Interest Rates to be Paid on Customer Deposits, and Charges for Returned Checks</w:t>
      </w:r>
    </w:p>
    <w:p>
      <w:pPr>
        <w:pStyle w:val="BodyText2"/>
        <w:rPr/>
      </w:pPr>
      <w:r>
        <w:rPr>
          <w:b/>
          <w:sz w:val="20"/>
        </w:rPr>
        <w:t>Chapter 313</w:t>
      </w:r>
      <w:r>
        <w:rPr>
          <w:sz w:val="20"/>
        </w:rPr>
        <w:tab/>
        <w:t>Customer Net Energy Billing</w:t>
      </w:r>
    </w:p>
    <w:p>
      <w:pPr>
        <w:pStyle w:val="BodyText2"/>
        <w:rPr/>
      </w:pPr>
      <w:r>
        <w:rPr>
          <w:b/>
          <w:sz w:val="20"/>
        </w:rPr>
        <w:t>Chapter 360</w:t>
      </w:r>
      <w:r>
        <w:rPr>
          <w:sz w:val="20"/>
        </w:rPr>
        <w:tab/>
        <w:t>Cogeneration and Small power Production</w:t>
      </w:r>
    </w:p>
    <w:p>
      <w:pPr>
        <w:pStyle w:val="BodyText"/>
        <w:rPr/>
      </w:pPr>
      <w:r>
        <w:rPr>
          <w:rFonts w:cs="Lucida Console" w:ascii="Lucida Console" w:hAnsi="Lucida Console"/>
          <w:sz w:val="20"/>
        </w:rPr>
        <w:t>·</w:t>
      </w:r>
      <w:r>
        <w:rPr>
          <w:sz w:val="20"/>
        </w:rPr>
        <w:tab/>
        <w:t>Terms &amp; Conditions of the T&amp;D Utility filed and approved by the MPUC</w:t>
      </w:r>
    </w:p>
    <w:p>
      <w:pPr>
        <w:pStyle w:val="BodyText"/>
        <w:rPr/>
      </w:pPr>
      <w:r>
        <w:rPr>
          <w:rFonts w:cs="Lucida Console" w:ascii="Lucida Console" w:hAnsi="Lucida Console"/>
          <w:sz w:val="20"/>
        </w:rPr>
        <w:t>·</w:t>
      </w:r>
      <w:r>
        <w:rPr>
          <w:sz w:val="20"/>
        </w:rPr>
        <w:tab/>
        <w:t>Maine Electronic Business Transaction Standards</w:t>
      </w:r>
    </w:p>
    <w:p>
      <w:pPr>
        <w:pStyle w:val="BodyText"/>
        <w:rPr/>
      </w:pPr>
      <w:r>
        <w:rPr>
          <w:rFonts w:cs="Lucida Console" w:ascii="Lucida Console" w:hAnsi="Lucida Console"/>
          <w:sz w:val="20"/>
        </w:rPr>
        <w:t>·</w:t>
      </w:r>
      <w:r>
        <w:rPr>
          <w:sz w:val="20"/>
        </w:rPr>
        <w:tab/>
        <w:t>Restated NEPOOL Agreement</w:t>
      </w:r>
    </w:p>
    <w:p>
      <w:pPr>
        <w:pStyle w:val="BodyText"/>
        <w:rPr/>
      </w:pPr>
      <w:r>
        <w:rPr>
          <w:rFonts w:cs="Lucida Console" w:ascii="Lucida Console" w:hAnsi="Lucida Console"/>
          <w:sz w:val="20"/>
        </w:rPr>
        <w:t>·</w:t>
      </w:r>
      <w:r>
        <w:rPr>
          <w:sz w:val="20"/>
        </w:rPr>
        <w:tab/>
        <w:t>NEPOOL Market Rules</w:t>
      </w:r>
    </w:p>
    <w:p>
      <w:pPr>
        <w:pStyle w:val="BodyText"/>
        <w:rPr/>
      </w:pPr>
      <w:r>
        <w:rPr>
          <w:rFonts w:cs="Lucida Console" w:ascii="Lucida Console" w:hAnsi="Lucida Console"/>
          <w:sz w:val="20"/>
        </w:rPr>
        <w:t>·</w:t>
      </w:r>
      <w:r>
        <w:rPr>
          <w:sz w:val="20"/>
        </w:rPr>
        <w:tab/>
        <w:t>NEPOOL OATT</w:t>
      </w:r>
    </w:p>
    <w:p>
      <w:pPr>
        <w:pStyle w:val="BodyText"/>
        <w:rPr/>
      </w:pPr>
      <w:r>
        <w:rPr>
          <w:rFonts w:cs="Lucida Console" w:ascii="Lucida Console" w:hAnsi="Lucida Console"/>
          <w:sz w:val="20"/>
        </w:rPr>
        <w:t>·</w:t>
      </w:r>
      <w:r>
        <w:rPr>
          <w:sz w:val="20"/>
        </w:rPr>
        <w:tab/>
        <w:t>T&amp;D Utility Transmission Tariff</w:t>
      </w:r>
    </w:p>
    <w:p>
      <w:pPr>
        <w:pStyle w:val="BodyText"/>
        <w:rPr/>
      </w:pPr>
      <w:r>
        <w:rPr>
          <w:rFonts w:cs="Lucida Console" w:ascii="Lucida Console" w:hAnsi="Lucida Console"/>
          <w:sz w:val="20"/>
        </w:rPr>
        <w:t>·</w:t>
      </w:r>
      <w:r>
        <w:rPr>
          <w:sz w:val="20"/>
        </w:rPr>
        <w:tab/>
        <w:t>ISO Tariff</w:t>
      </w:r>
    </w:p>
    <w:p>
      <w:pPr>
        <w:pStyle w:val="BodyText"/>
        <w:rPr/>
      </w:pPr>
      <w:r>
        <w:rPr>
          <w:rFonts w:cs="Lucida Console" w:ascii="Lucida Console" w:hAnsi="Lucida Console"/>
          <w:sz w:val="20"/>
        </w:rPr>
        <w:t>·</w:t>
      </w:r>
      <w:r>
        <w:rPr>
          <w:sz w:val="20"/>
        </w:rPr>
        <w:tab/>
        <w:t>NMISA Tariff</w:t>
      </w:r>
    </w:p>
    <w:p>
      <w:pPr>
        <w:pStyle w:val="BodyText"/>
        <w:rPr/>
      </w:pPr>
      <w:r>
        <w:rPr>
          <w:rFonts w:cs="Lucida Console" w:ascii="Lucida Console" w:hAnsi="Lucida Console"/>
          <w:sz w:val="20"/>
        </w:rPr>
        <w:t>·</w:t>
      </w:r>
      <w:r>
        <w:rPr>
          <w:sz w:val="20"/>
        </w:rPr>
        <w:tab/>
        <w:t>Any other applicable FERC jurisdictional tariff, rate schedule or agreement</w:t>
      </w:r>
    </w:p>
    <w:p>
      <w:pPr>
        <w:pStyle w:val="Normal"/>
        <w:rPr>
          <w:sz w:val="20"/>
        </w:rPr>
      </w:pPr>
      <w:r>
        <w:rPr>
          <w:sz w:val="20"/>
        </w:rPr>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p>
    <w:pPr>
      <w:pStyle w:val="Footer"/>
      <w:rPr/>
    </w:pPr>
    <w:r>
      <w:rPr>
        <w:sz w:val="14"/>
      </w:rPr>
      <w:t xml:space="preserve">DN 169336.4  </w:t>
    </w:r>
    <w:r>
      <w:rPr>
        <w:sz w:val="14"/>
      </w:rPr>
      <w:fldChar w:fldCharType="begin"/>
    </w:r>
    <w:r>
      <w:rPr>
        <w:sz w:val="14"/>
      </w:rPr>
      <w:instrText xml:space="preserve"> DATE \@"M/d/yyyy" </w:instrText>
    </w:r>
    <w:r>
      <w:rPr>
        <w:sz w:val="14"/>
      </w:rPr>
      <w:fldChar w:fldCharType="separate"/>
    </w:r>
    <w:r>
      <w:rPr>
        <w:sz w:val="14"/>
      </w:rPr>
      <w:t>9/28/2025</w:t>
    </w:r>
    <w:r>
      <w:rPr>
        <w:sz w:val="14"/>
      </w:rPr>
      <w:fldChar w:fldCharType="end"/>
    </w:r>
    <w:r>
      <w:rPr>
        <w:sz w:val="14"/>
      </w:rPr>
      <w:t xml:space="preserve"> </w:t>
    </w:r>
    <w:r>
      <w:rPr>
        <w:sz w:val="14"/>
      </w:rPr>
      <w:fldChar w:fldCharType="begin"/>
    </w:r>
    <w:r>
      <w:rPr>
        <w:sz w:val="14"/>
      </w:rPr>
      <w:instrText xml:space="preserve"> DATE \@"M/d/yyyy" </w:instrText>
    </w:r>
    <w:r>
      <w:rPr>
        <w:sz w:val="14"/>
      </w:rPr>
      <w:fldChar w:fldCharType="separate"/>
    </w:r>
    <w:r>
      <w:rPr>
        <w:sz w:val="14"/>
      </w:rPr>
      <w:t>9/28/2025</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3"/>
      </w:rPr>
    </w:pPr>
    <w:r>
      <w:rPr>
        <w:sz w:val="13"/>
      </w:rPr>
      <w:t xml:space="preserve"> </w:t>
    </w:r>
  </w:p>
  <w:p>
    <w:pPr>
      <w:pStyle w:val="Footer"/>
      <w:rPr/>
    </w:pPr>
    <w:r>
      <w:rPr>
        <w:sz w:val="13"/>
      </w:rPr>
      <w:t xml:space="preserve">DN 169336..4  </w:t>
    </w:r>
    <w:r>
      <w:rPr>
        <w:sz w:val="13"/>
      </w:rPr>
      <w:fldChar w:fldCharType="begin"/>
    </w:r>
    <w:r>
      <w:rPr>
        <w:sz w:val="13"/>
      </w:rPr>
      <w:instrText xml:space="preserve"> DATE \@"M/d/yyyy" </w:instrText>
    </w:r>
    <w:r>
      <w:rPr>
        <w:sz w:val="13"/>
      </w:rPr>
      <w:fldChar w:fldCharType="separate"/>
    </w:r>
    <w:r>
      <w:rPr>
        <w:sz w:val="13"/>
      </w:rPr>
      <w:t>9/28/2025</w:t>
    </w:r>
    <w:r>
      <w:rPr>
        <w:sz w:val="13"/>
      </w:rPr>
      <w:fldChar w:fldCharType="end"/>
    </w:r>
    <w:r>
      <w:rPr>
        <w:sz w:val="13"/>
      </w:rPr>
      <w:t xml:space="preserve"> </w:t>
    </w:r>
    <w:r>
      <w:rPr>
        <w:sz w:val="13"/>
      </w:rPr>
      <w:fldChar w:fldCharType="begin"/>
    </w:r>
    <w:r>
      <w:rPr>
        <w:sz w:val="13"/>
      </w:rPr>
      <w:instrText xml:space="preserve"> DATE \@"M/d/yyyy" </w:instrText>
    </w:r>
    <w:r>
      <w:rPr>
        <w:sz w:val="13"/>
      </w:rPr>
      <w:fldChar w:fldCharType="separate"/>
    </w:r>
    <w:r>
      <w:rPr>
        <w:sz w:val="13"/>
      </w:rPr>
      <w:t>9/28/2025</w:t>
    </w:r>
    <w:r>
      <w:rPr>
        <w:sz w:val="13"/>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rPr>
    </w:pPr>
    <w:r>
      <w:rPr>
        <w:i/>
      </w:rPr>
      <w:t>DRAFT-FOR DISCUSSION PURPOSES ONLY- PROPRIETARY AND CONFIDENTIAL</w:t>
    </w:r>
  </w:p>
  <w:p>
    <w:pPr>
      <w:pStyle w:val="Header"/>
      <w:jc w:val="center"/>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rPr>
    </w:pPr>
    <w:r>
      <w:rPr>
        <w:i/>
      </w:rPr>
      <w:t>DRAFT-FOR DISCUSSION PURPOSES ONLY- PROPRIETARY AND CONFIDENTIAL</w:t>
    </w:r>
  </w:p>
  <w:p>
    <w:pPr>
      <w:pStyle w:val="Header"/>
      <w:jc w:val="center"/>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widowControl w:val="false"/>
      <w:numPr>
        <w:ilvl w:val="0"/>
        <w:numId w:val="1"/>
      </w:numPr>
      <w:spacing w:before="0" w:after="200"/>
      <w:jc w:val="both"/>
      <w:outlineLvl w:val="0"/>
    </w:pPr>
    <w:rPr>
      <w:b/>
      <w:caps/>
      <w:kern w:val="2"/>
    </w:rPr>
  </w:style>
  <w:style w:type="paragraph" w:styleId="Heading2">
    <w:name w:val="heading 2"/>
    <w:basedOn w:val="Normal"/>
    <w:next w:val="Normal"/>
    <w:qFormat/>
    <w:pPr>
      <w:keepNext w:val="true"/>
      <w:widowControl w:val="false"/>
      <w:numPr>
        <w:ilvl w:val="1"/>
        <w:numId w:val="1"/>
      </w:numPr>
      <w:spacing w:before="0" w:after="200"/>
      <w:ind w:firstLine="720" w:start="0" w:end="0"/>
      <w:jc w:val="both"/>
      <w:outlineLvl w:val="1"/>
    </w:pPr>
    <w:rPr/>
  </w:style>
  <w:style w:type="paragraph" w:styleId="Heading3">
    <w:name w:val="heading 3"/>
    <w:basedOn w:val="Normal"/>
    <w:next w:val="Normal"/>
    <w:qFormat/>
    <w:pPr>
      <w:keepNext w:val="true"/>
      <w:widowControl w:val="false"/>
      <w:numPr>
        <w:ilvl w:val="2"/>
        <w:numId w:val="1"/>
      </w:numPr>
      <w:spacing w:before="0" w:after="200"/>
      <w:ind w:firstLine="720" w:start="720" w:end="0"/>
      <w:jc w:val="both"/>
      <w:outlineLvl w:val="2"/>
    </w:pPr>
    <w:rPr/>
  </w:style>
  <w:style w:type="paragraph" w:styleId="Heading4">
    <w:name w:val="heading 4"/>
    <w:basedOn w:val="Normal"/>
    <w:next w:val="Normal"/>
    <w:qFormat/>
    <w:pPr>
      <w:keepNext w:val="true"/>
      <w:widowControl w:val="false"/>
      <w:numPr>
        <w:ilvl w:val="3"/>
        <w:numId w:val="1"/>
      </w:numPr>
      <w:spacing w:before="0" w:after="200"/>
      <w:ind w:firstLine="720" w:start="1440" w:end="0"/>
      <w:jc w:val="both"/>
      <w:outlineLvl w:val="3"/>
    </w:pPr>
    <w:rPr/>
  </w:style>
  <w:style w:type="paragraph" w:styleId="Heading5">
    <w:name w:val="heading 5"/>
    <w:basedOn w:val="Normal"/>
    <w:next w:val="Normal"/>
    <w:qFormat/>
    <w:pPr>
      <w:keepNext w:val="true"/>
      <w:numPr>
        <w:ilvl w:val="4"/>
        <w:numId w:val="1"/>
      </w:numPr>
      <w:jc w:val="start"/>
      <w:outlineLvl w:val="4"/>
    </w:pPr>
    <w:rPr>
      <w:b/>
      <w:sz w:val="24"/>
    </w:rPr>
  </w:style>
  <w:style w:type="paragraph" w:styleId="Heading9">
    <w:name w:val="heading 9"/>
    <w:basedOn w:val="Normal"/>
    <w:next w:val="Normal"/>
    <w:qFormat/>
    <w:pPr>
      <w:widowControl w:val="false"/>
      <w:numPr>
        <w:ilvl w:val="8"/>
        <w:numId w:val="1"/>
      </w:numPr>
      <w:spacing w:before="0" w:after="60"/>
      <w:jc w:val="center"/>
      <w:outlineLvl w:val="8"/>
    </w:pPr>
    <w:rPr>
      <w:b/>
      <w:caps/>
      <w:u w:val="single"/>
    </w:rPr>
  </w:style>
  <w:style w:type="character" w:styleId="DefaultParagraphFont">
    <w:name w:val="Default Paragraph Font"/>
    <w:qFormat/>
    <w:rPr/>
  </w:style>
  <w:style w:type="character" w:styleId="PageNumber">
    <w:name w:val="page number"/>
    <w:basedOn w:val="DefaultParagraphFont"/>
    <w:rPr>
      <w:rFonts w:ascii="TIMES" w:hAnsi="TIMES" w:cs="TIMES"/>
      <w:sz w:val="20"/>
    </w:rPr>
  </w:style>
  <w:style w:type="paragraph" w:styleId="Heading">
    <w:name w:val="Heading"/>
    <w:basedOn w:val="Normal"/>
    <w:next w:val="BodyText"/>
    <w:qFormat/>
    <w:pPr>
      <w:jc w:val="center"/>
    </w:pPr>
    <w:rPr>
      <w:b/>
      <w:sz w:val="24"/>
    </w:rPr>
  </w:style>
  <w:style w:type="paragraph" w:styleId="BodyText">
    <w:name w:val="Body Text"/>
    <w:basedOn w:val="Normal"/>
    <w:pPr>
      <w:widowControl/>
      <w:tabs>
        <w:tab w:val="clear" w:pos="720"/>
        <w:tab w:val="left" w:pos="1080" w:leader="none"/>
      </w:tabs>
      <w:spacing w:before="0" w:after="120"/>
      <w:ind w:hanging="1080" w:start="180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citalHeading">
    <w:name w:val="Recital Heading"/>
    <w:basedOn w:val="Normal"/>
    <w:qFormat/>
    <w:pPr>
      <w:widowControl w:val="false"/>
      <w:numPr>
        <w:ilvl w:val="0"/>
        <w:numId w:val="2"/>
      </w:numPr>
      <w:ind w:firstLine="1440" w:start="0" w:end="0"/>
      <w:jc w:val="both"/>
    </w:pPr>
    <w:rPr/>
  </w:style>
  <w:style w:type="paragraph" w:styleId="ShortAgmt1">
    <w:name w:val="ShortAgmt1"/>
    <w:basedOn w:val="Normal"/>
    <w:qFormat/>
    <w:pPr>
      <w:widowControl w:val="false"/>
      <w:tabs>
        <w:tab w:val="clear" w:pos="720"/>
        <w:tab w:val="left" w:pos="2160" w:leader="none"/>
      </w:tabs>
      <w:spacing w:before="0" w:after="240"/>
      <w:ind w:firstLine="1440" w:start="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spacing w:before="0" w:after="120"/>
      <w:ind w:hanging="1440" w:start="2880" w:end="0"/>
    </w:pPr>
    <w:rPr>
      <w:sz w:val="24"/>
    </w:rPr>
  </w:style>
  <w:style w:type="paragraph" w:styleId="BodyText3">
    <w:name w:val="Body Text 3"/>
    <w:basedOn w:val="Normal"/>
    <w:qFormat/>
    <w:pPr>
      <w:widowControl/>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2001-06-19T19:36:00Z</dcterms:created>
  <dc:creator>IS Department</dc:creator>
  <dc:description/>
  <cp:keywords>DN 169336.4 02618 00546 6/11/2001  9:29 AM</cp:keywords>
  <dc:language>en-CA</dc:language>
  <cp:lastModifiedBy>aralston</cp:lastModifiedBy>
  <cp:lastPrinted>2001-06-19T17:06:00Z</cp:lastPrinted>
  <dcterms:modified xsi:type="dcterms:W3CDTF">2001-06-19T19:36:00Z</dcterms:modified>
  <cp:revision>3</cp:revision>
  <dc:subject/>
  <dc:title>TERM SHEET</dc:title>
</cp:coreProperties>
</file>