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PRESENTATION</w:t>
      </w:r>
    </w:p>
    <w:p>
      <w:pPr>
        <w:pStyle w:val="Normal"/>
        <w:jc w:val="center"/>
        <w:rPr>
          <w:b/>
        </w:rPr>
      </w:pPr>
      <w:r>
        <w:rPr>
          <w:b/>
        </w:rPr>
        <w:t>December 14, 2000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I.</w:t>
        <w:tab/>
        <w:t>Overview</w:t>
      </w:r>
    </w:p>
    <w:p>
      <w:pPr>
        <w:pStyle w:val="Normal"/>
        <w:rPr/>
      </w:pPr>
      <w:r>
        <w:rPr/>
        <w:tab/>
        <w:t>A.</w:t>
        <w:tab/>
        <w:t>ESIGN and (to some extent) UETA are here; UCITA is on the way</w:t>
      </w:r>
    </w:p>
    <w:p>
      <w:pPr>
        <w:pStyle w:val="Normal"/>
        <w:rPr/>
      </w:pPr>
      <w:r>
        <w:rPr/>
        <w:tab/>
        <w:t xml:space="preserve">B. </w:t>
        <w:tab/>
        <w:t xml:space="preserve">Legislative status of the acts </w:t>
      </w:r>
    </w:p>
    <w:p>
      <w:pPr>
        <w:pStyle w:val="Normal"/>
        <w:rPr/>
      </w:pPr>
      <w:r>
        <w:rPr/>
        <w:tab/>
        <w:tab/>
        <w:t>1.</w:t>
        <w:tab/>
        <w:t>ESIGN – federal law signed by the President in June of this year</w:t>
      </w:r>
    </w:p>
    <w:p>
      <w:pPr>
        <w:pStyle w:val="Normal"/>
        <w:ind w:hanging="720" w:start="2160" w:end="0"/>
        <w:rPr/>
      </w:pPr>
      <w:r>
        <w:rPr/>
        <w:t>2.</w:t>
        <w:tab/>
        <w:t>UETA – uniform law adopted in 23 states (but not in its pure form in most states); introduced in others</w:t>
      </w:r>
    </w:p>
    <w:p>
      <w:pPr>
        <w:pStyle w:val="Normal"/>
        <w:ind w:hanging="720" w:start="2160" w:end="0"/>
        <w:rPr/>
      </w:pPr>
      <w:r>
        <w:rPr/>
        <w:tab/>
        <w:t>a.</w:t>
        <w:tab/>
        <w:t>Preemption issues – when does UETA trump ESIGN?</w:t>
      </w:r>
    </w:p>
    <w:p>
      <w:pPr>
        <w:pStyle w:val="Normal"/>
        <w:ind w:hanging="720" w:start="2160" w:end="0"/>
        <w:rPr/>
      </w:pPr>
      <w:r>
        <w:rPr/>
        <w:t>3.</w:t>
        <w:tab/>
        <w:t>UCITA – uniform law adopted in 2 states; introduced in others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II.</w:t>
        <w:tab/>
        <w:t>Substance of the acts</w:t>
      </w:r>
    </w:p>
    <w:p>
      <w:pPr>
        <w:pStyle w:val="Normal"/>
        <w:rPr/>
      </w:pPr>
      <w:r>
        <w:rPr/>
        <w:tab/>
        <w:t>A.</w:t>
        <w:tab/>
        <w:t xml:space="preserve">UETA/ESIGN </w:t>
      </w:r>
    </w:p>
    <w:p>
      <w:pPr>
        <w:pStyle w:val="Normal"/>
        <w:rPr/>
      </w:pPr>
      <w:r>
        <w:rPr/>
        <w:tab/>
        <w:tab/>
        <w:t>1.</w:t>
        <w:tab/>
        <w:t>Each generally acts to validate electronic signatures and records</w:t>
      </w:r>
    </w:p>
    <w:p>
      <w:pPr>
        <w:pStyle w:val="Normal"/>
        <w:rPr/>
      </w:pPr>
      <w:r>
        <w:rPr/>
        <w:tab/>
        <w:tab/>
        <w:t>2.</w:t>
        <w:tab/>
        <w:t>Compare and contrast important provisions in the acts</w:t>
      </w:r>
    </w:p>
    <w:p>
      <w:pPr>
        <w:pStyle w:val="Normal"/>
        <w:rPr/>
      </w:pPr>
      <w:r>
        <w:rPr/>
        <w:tab/>
        <w:tab/>
        <w:t>3.</w:t>
        <w:tab/>
        <w:t>Problems with UETA</w:t>
      </w:r>
    </w:p>
    <w:p>
      <w:pPr>
        <w:pStyle w:val="Normal"/>
        <w:rPr/>
      </w:pPr>
      <w:r>
        <w:rPr/>
        <w:tab/>
        <w:tab/>
        <w:tab/>
        <w:t>a.</w:t>
        <w:tab/>
        <w:t>The pre-consent rule</w:t>
      </w:r>
    </w:p>
    <w:p>
      <w:pPr>
        <w:pStyle w:val="Normal"/>
        <w:rPr/>
      </w:pPr>
      <w:r>
        <w:rPr/>
        <w:tab/>
        <w:tab/>
        <w:tab/>
        <w:t>b.</w:t>
        <w:tab/>
        <w:t>The record retention rule</w:t>
      </w:r>
    </w:p>
    <w:p>
      <w:pPr>
        <w:pStyle w:val="Normal"/>
        <w:rPr/>
      </w:pPr>
      <w:r>
        <w:rPr/>
        <w:tab/>
        <w:tab/>
        <w:tab/>
        <w:t>c.</w:t>
        <w:tab/>
        <w:t>The “inhibiting retention” provision</w:t>
      </w:r>
    </w:p>
    <w:p>
      <w:pPr>
        <w:pStyle w:val="Normal"/>
        <w:ind w:hanging="720" w:start="2160" w:end="0"/>
        <w:rPr/>
      </w:pPr>
      <w:r>
        <w:rPr/>
        <w:t>4.</w:t>
        <w:tab/>
        <w:t>Assuming the problems with UETA are remedied, there is still a preemption issue</w:t>
      </w:r>
    </w:p>
    <w:p>
      <w:pPr>
        <w:pStyle w:val="Normal"/>
        <w:rPr/>
      </w:pPr>
      <w:r>
        <w:rPr/>
        <w:tab/>
        <w:t>B.</w:t>
        <w:tab/>
        <w:t>UCITA</w:t>
      </w:r>
    </w:p>
    <w:p>
      <w:pPr>
        <w:pStyle w:val="Normal"/>
        <w:rPr/>
      </w:pPr>
      <w:r>
        <w:rPr/>
        <w:tab/>
        <w:tab/>
        <w:t>1.</w:t>
        <w:tab/>
        <w:t>Substantive law of e-commerce</w:t>
      </w:r>
    </w:p>
    <w:p>
      <w:pPr>
        <w:pStyle w:val="Normal"/>
        <w:rPr/>
      </w:pPr>
      <w:r>
        <w:rPr/>
        <w:tab/>
        <w:tab/>
        <w:t>2.</w:t>
        <w:tab/>
        <w:t>The scope is significantly broader than a mere licensing law</w:t>
      </w:r>
    </w:p>
    <w:p>
      <w:pPr>
        <w:pStyle w:val="Normal"/>
        <w:rPr/>
      </w:pPr>
      <w:r>
        <w:rPr/>
        <w:tab/>
        <w:tab/>
        <w:t>3.</w:t>
        <w:tab/>
        <w:t>Important provisions</w:t>
      </w:r>
    </w:p>
    <w:p>
      <w:pPr>
        <w:pStyle w:val="Normal"/>
        <w:rPr/>
      </w:pPr>
      <w:r>
        <w:rPr/>
        <w:tab/>
        <w:tab/>
        <w:tab/>
        <w:t>a.</w:t>
        <w:tab/>
        <w:t>Opt in/opt out</w:t>
      </w:r>
    </w:p>
    <w:p>
      <w:pPr>
        <w:pStyle w:val="Normal"/>
        <w:rPr/>
      </w:pPr>
      <w:r>
        <w:rPr/>
        <w:tab/>
        <w:tab/>
        <w:tab/>
        <w:t>b.</w:t>
        <w:tab/>
        <w:t>Access contracts</w:t>
      </w:r>
    </w:p>
    <w:p>
      <w:pPr>
        <w:pStyle w:val="Normal"/>
        <w:rPr/>
      </w:pPr>
      <w:r>
        <w:rPr/>
        <w:tab/>
        <w:tab/>
        <w:tab/>
        <w:t>c.</w:t>
        <w:tab/>
        <w:t>Warranties</w:t>
      </w:r>
    </w:p>
    <w:p>
      <w:pPr>
        <w:pStyle w:val="Normal"/>
        <w:rPr/>
      </w:pPr>
      <w:r>
        <w:rPr/>
        <w:tab/>
        <w:t>C.</w:t>
        <w:tab/>
        <w:t>Global problems with all of the acts</w:t>
      </w:r>
    </w:p>
    <w:p>
      <w:pPr>
        <w:pStyle w:val="Normal"/>
        <w:rPr/>
      </w:pPr>
      <w:r>
        <w:rPr/>
        <w:tab/>
        <w:tab/>
        <w:t>1.</w:t>
        <w:tab/>
        <w:t>Manifesting assent to contract</w:t>
      </w:r>
    </w:p>
    <w:p>
      <w:pPr>
        <w:pStyle w:val="Normal"/>
        <w:rPr/>
      </w:pPr>
      <w:r>
        <w:rPr/>
        <w:tab/>
        <w:tab/>
        <w:t>2.</w:t>
        <w:tab/>
        <w:t>Attribution/authority</w:t>
      </w:r>
    </w:p>
    <w:p>
      <w:pPr>
        <w:pStyle w:val="Normal"/>
        <w:rPr/>
      </w:pPr>
      <w:r>
        <w:rPr/>
        <w:tab/>
        <w:tab/>
        <w:t>3.</w:t>
        <w:tab/>
        <w:t>UCITA addresses these problems head-on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III.</w:t>
        <w:tab/>
        <w:t>Impact on Enron</w:t>
      </w:r>
    </w:p>
    <w:p>
      <w:pPr>
        <w:pStyle w:val="Normal"/>
        <w:ind w:hanging="720" w:start="1440" w:end="0"/>
        <w:rPr/>
      </w:pPr>
      <w:r>
        <w:rPr/>
        <w:t>A.</w:t>
        <w:tab/>
        <w:t>UCITA would govern Enron’s participation in EnronOnline in two different ways—as a participant and as a service provider</w:t>
      </w:r>
    </w:p>
    <w:p>
      <w:pPr>
        <w:pStyle w:val="Normal"/>
        <w:ind w:hanging="720" w:start="1440" w:end="0"/>
        <w:rPr/>
      </w:pPr>
      <w:r>
        <w:rPr/>
        <w:t>B.</w:t>
        <w:tab/>
        <w:t>Enron could “opt in” to UCITA’s coverage to tailor the terms and conditions of EnronOnline</w:t>
      </w:r>
    </w:p>
    <w:p>
      <w:pPr>
        <w:pStyle w:val="Normal"/>
        <w:ind w:hanging="720" w:start="1440" w:end="0"/>
        <w:rPr/>
      </w:pPr>
      <w:r>
        <w:rPr/>
        <w:t>C.</w:t>
        <w:tab/>
        <w:t>The passage of UETA in its pure form in Texas would adversely affect many of Enron’s business operations here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IV.</w:t>
        <w:tab/>
        <w:t>Conclusion</w:t>
      </w:r>
    </w:p>
    <w:p>
      <w:pPr>
        <w:pStyle w:val="Normal"/>
        <w:rPr/>
      </w:pPr>
      <w:r>
        <w:rPr/>
        <w:tab/>
        <w:t>A.</w:t>
        <w:tab/>
        <w:t>We suggest that Enron support UCITA</w:t>
      </w:r>
    </w:p>
    <w:p>
      <w:pPr>
        <w:pStyle w:val="Normal"/>
        <w:ind w:hanging="720" w:start="1440" w:end="0"/>
        <w:rPr/>
      </w:pPr>
      <w:r>
        <w:rPr/>
        <w:t>B.</w:t>
        <w:tab/>
        <w:t>We also suggest that Enron oppose the adoption of UETA in its pure form by either (i) opposing UETA outright or (ii) lobbying for substantial changes to it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/mnt/main-storage/datasets/enron-docs/doc/JDodd_presentation.doc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next w:val="Normal"/>
    <w:qFormat/>
    <w:pPr>
      <w:keepNext w:val="true"/>
      <w:widowControl/>
      <w:numPr>
        <w:ilvl w:val="0"/>
        <w:numId w:val="1"/>
      </w:numPr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2">
    <w:name w:val="heading 2"/>
    <w:next w:val="Normal"/>
    <w:qFormat/>
    <w:pPr>
      <w:keepNext w:val="true"/>
      <w:widowControl/>
      <w:numPr>
        <w:ilvl w:val="1"/>
        <w:numId w:val="1"/>
      </w:numPr>
      <w:bidi w:val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next w:val="Normal"/>
    <w:qFormat/>
    <w:pPr>
      <w:keepNext w:val="true"/>
      <w:widowControl/>
      <w:numPr>
        <w:ilvl w:val="2"/>
        <w:numId w:val="1"/>
      </w:numPr>
      <w:bidi w:val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4">
    <w:name w:val="heading 4"/>
    <w:next w:val="Normal"/>
    <w:qFormat/>
    <w:pPr>
      <w:keepNext w:val="true"/>
      <w:widowControl/>
      <w:numPr>
        <w:ilvl w:val="3"/>
        <w:numId w:val="1"/>
      </w:numPr>
      <w:bidi w:val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next w:val="Normal"/>
    <w:qFormat/>
    <w:pPr>
      <w:keepNext w:val="true"/>
      <w:widowControl/>
      <w:numPr>
        <w:ilvl w:val="4"/>
        <w:numId w:val="1"/>
      </w:numPr>
      <w:bidi w:val="0"/>
      <w:jc w:val="both"/>
      <w:outlineLvl w:val="4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6">
    <w:name w:val="heading 6"/>
    <w:next w:val="Normal"/>
    <w:qFormat/>
    <w:pPr>
      <w:keepNext w:val="true"/>
      <w:widowControl/>
      <w:numPr>
        <w:ilvl w:val="5"/>
        <w:numId w:val="1"/>
      </w:numPr>
      <w:bidi w:val="0"/>
      <w:jc w:val="both"/>
      <w:outlineLvl w:val="5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7">
    <w:name w:val="heading 7"/>
    <w:next w:val="Normal"/>
    <w:qFormat/>
    <w:pPr>
      <w:keepNext w:val="true"/>
      <w:widowControl/>
      <w:numPr>
        <w:ilvl w:val="6"/>
        <w:numId w:val="1"/>
      </w:numPr>
      <w:bidi w:val="0"/>
      <w:jc w:val="both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8">
    <w:name w:val="heading 8"/>
    <w:next w:val="Normal"/>
    <w:qFormat/>
    <w:pPr>
      <w:keepNext w:val="true"/>
      <w:widowControl/>
      <w:numPr>
        <w:ilvl w:val="7"/>
        <w:numId w:val="1"/>
      </w:numPr>
      <w:bidi w:val="0"/>
      <w:jc w:val="both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9">
    <w:name w:val="heading 9"/>
    <w:next w:val="Normal"/>
    <w:qFormat/>
    <w:pPr>
      <w:keepNext w:val="true"/>
      <w:widowControl/>
      <w:numPr>
        <w:ilvl w:val="8"/>
        <w:numId w:val="1"/>
      </w:numPr>
      <w:bidi w:val="0"/>
      <w:jc w:val="both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BoldCaps">
    <w:name w:val="Bold/Caps"/>
    <w:basedOn w:val="DefaultParagraphFont"/>
    <w:qFormat/>
    <w:rPr>
      <w:b/>
      <w:caps/>
    </w:rPr>
  </w:style>
  <w:style w:type="character" w:styleId="PageNumber">
    <w:name w:val="page number"/>
    <w:basedOn w:val="DefaultParagraphFont"/>
    <w:rPr/>
  </w:style>
  <w:style w:type="character" w:styleId="BoldUnd">
    <w:name w:val="Bold/Und"/>
    <w:basedOn w:val="DefaultParagraphFont"/>
    <w:qFormat/>
    <w:rPr>
      <w:b/>
      <w:u w:val="single"/>
    </w:rPr>
  </w:style>
  <w:style w:type="character" w:styleId="CapsUnd">
    <w:name w:val="Caps/Und"/>
    <w:basedOn w:val="DefaultParagraphFont"/>
    <w:qFormat/>
    <w:rPr>
      <w:caps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10a">
    <w:name w:val="Endnote Text 10a"/>
    <w:qFormat/>
    <w:pPr>
      <w:widowControl/>
      <w:tabs>
        <w:tab w:val="clear" w:pos="720"/>
        <w:tab w:val="left" w:pos="576" w:leader="none"/>
      </w:tabs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EndnoteText10b">
    <w:name w:val="Endnote Text 10b"/>
    <w:basedOn w:val="EndnoteText10a"/>
    <w:qFormat/>
    <w:pPr>
      <w:ind w:hanging="576" w:start="576" w:end="0"/>
    </w:pPr>
    <w:rPr/>
  </w:style>
  <w:style w:type="paragraph" w:styleId="EndnoteText11a">
    <w:name w:val="Endnote Text 11a"/>
    <w:basedOn w:val="EndnoteText10a"/>
    <w:qFormat/>
    <w:pPr>
      <w:spacing w:before="0" w:after="220"/>
    </w:pPr>
    <w:rPr>
      <w:sz w:val="22"/>
    </w:rPr>
  </w:style>
  <w:style w:type="paragraph" w:styleId="EndnoteText11b">
    <w:name w:val="Endnote Text 11b"/>
    <w:basedOn w:val="EndnoteText10b"/>
    <w:qFormat/>
    <w:pPr>
      <w:spacing w:before="0" w:after="22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pPr>
      <w:widowControl/>
      <w:tabs>
        <w:tab w:val="clear" w:pos="720"/>
        <w:tab w:val="center" w:pos="4680" w:leader="none"/>
        <w:tab w:val="right" w:pos="936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ootnoteText10a">
    <w:name w:val="Footnote Text 10a"/>
    <w:qFormat/>
    <w:pPr>
      <w:widowControl/>
      <w:tabs>
        <w:tab w:val="clear" w:pos="720"/>
        <w:tab w:val="left" w:pos="576" w:leader="none"/>
      </w:tabs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FootnoteText10b">
    <w:name w:val="Footnote Text 10b"/>
    <w:basedOn w:val="FootnoteText10a"/>
    <w:qFormat/>
    <w:pPr>
      <w:ind w:hanging="576" w:start="576" w:end="0"/>
    </w:pPr>
    <w:rPr/>
  </w:style>
  <w:style w:type="paragraph" w:styleId="FootnoteText11a">
    <w:name w:val="Footnote Text 11a"/>
    <w:basedOn w:val="FootnoteText10a"/>
    <w:qFormat/>
    <w:pPr>
      <w:spacing w:before="0" w:after="220"/>
    </w:pPr>
    <w:rPr>
      <w:sz w:val="22"/>
    </w:rPr>
  </w:style>
  <w:style w:type="paragraph" w:styleId="FootnoteText11b">
    <w:name w:val="Footnote Text 11b"/>
    <w:basedOn w:val="FootnoteText10b"/>
    <w:qFormat/>
    <w:pPr>
      <w:spacing w:before="0" w:after="220"/>
    </w:pPr>
    <w:rPr>
      <w:sz w:val="22"/>
    </w:rPr>
  </w:style>
  <w:style w:type="paragraph" w:styleId="Header">
    <w:name w:val="header"/>
    <w:pPr>
      <w:widowControl/>
      <w:tabs>
        <w:tab w:val="clear" w:pos="720"/>
        <w:tab w:val="center" w:pos="4680" w:leader="none"/>
        <w:tab w:val="right" w:pos="936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Quote">
    <w:name w:val="Quote"/>
    <w:next w:val="Normal"/>
    <w:qFormat/>
    <w:pPr>
      <w:widowControl/>
      <w:bidi w:val="0"/>
      <w:spacing w:before="0" w:after="240"/>
      <w:ind w:hanging="0" w:start="720" w:end="72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Quote2">
    <w:name w:val="Quote 2"/>
    <w:basedOn w:val="Quote"/>
    <w:next w:val="Normal"/>
    <w:qFormat/>
    <w:pPr>
      <w:ind w:hanging="0" w:start="1440" w:end="1440"/>
    </w:pPr>
    <w:rPr/>
  </w:style>
  <w:style w:type="paragraph" w:styleId="TOC1">
    <w:name w:val="toc 1"/>
    <w:next w:val="Normal"/>
    <w:pPr>
      <w:widowControl/>
      <w:tabs>
        <w:tab w:val="left" w:pos="720" w:leader="none"/>
        <w:tab w:val="right" w:pos="9350" w:leader="dot"/>
      </w:tabs>
      <w:bidi w:val="0"/>
      <w:spacing w:before="240" w:after="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">
    <w:name w:val="toc 2"/>
    <w:next w:val="Normal"/>
    <w:pPr>
      <w:widowControl/>
      <w:tabs>
        <w:tab w:val="clear" w:pos="720"/>
        <w:tab w:val="left" w:pos="1080" w:leader="none"/>
        <w:tab w:val="right" w:pos="9360" w:leader="dot"/>
      </w:tabs>
      <w:bidi w:val="0"/>
      <w:ind w:hanging="0" w:start="360" w:end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3">
    <w:name w:val="toc 3"/>
    <w:next w:val="Normal"/>
    <w:pPr>
      <w:widowControl/>
      <w:tabs>
        <w:tab w:val="clear" w:pos="720"/>
        <w:tab w:val="left" w:pos="1440" w:leader="none"/>
        <w:tab w:val="right" w:pos="9360" w:leader="dot"/>
      </w:tabs>
      <w:bidi w:val="0"/>
      <w:ind w:hanging="0" w:start="72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">
    <w:name w:val="toc 4"/>
    <w:next w:val="Normal"/>
    <w:pPr>
      <w:widowControl/>
      <w:tabs>
        <w:tab w:val="clear" w:pos="720"/>
        <w:tab w:val="left" w:pos="1800" w:leader="none"/>
        <w:tab w:val="right" w:pos="9360" w:leader="dot"/>
      </w:tabs>
      <w:bidi w:val="0"/>
      <w:ind w:hanging="0" w:start="108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5">
    <w:name w:val="toc 5"/>
    <w:next w:val="Normal"/>
    <w:pPr>
      <w:widowControl/>
      <w:tabs>
        <w:tab w:val="clear" w:pos="720"/>
        <w:tab w:val="left" w:pos="2160" w:leader="none"/>
        <w:tab w:val="right" w:pos="9360" w:leader="dot"/>
      </w:tabs>
      <w:bidi w:val="0"/>
      <w:ind w:hanging="0" w:start="1440" w:end="0"/>
      <w:jc w:val="both"/>
      <w:outlineLvl w:val="4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6">
    <w:name w:val="toc 6"/>
    <w:next w:val="Normal"/>
    <w:pPr>
      <w:widowControl/>
      <w:tabs>
        <w:tab w:val="clear" w:pos="720"/>
        <w:tab w:val="left" w:pos="2520" w:leader="none"/>
        <w:tab w:val="right" w:pos="9360" w:leader="dot"/>
      </w:tabs>
      <w:bidi w:val="0"/>
      <w:ind w:hanging="0" w:start="1800" w:end="0"/>
      <w:jc w:val="both"/>
      <w:outlineLvl w:val="5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7">
    <w:name w:val="toc 7"/>
    <w:next w:val="Normal"/>
    <w:pPr>
      <w:widowControl/>
      <w:tabs>
        <w:tab w:val="clear" w:pos="720"/>
        <w:tab w:val="left" w:pos="2880" w:leader="none"/>
        <w:tab w:val="right" w:pos="9360" w:leader="dot"/>
      </w:tabs>
      <w:bidi w:val="0"/>
      <w:ind w:hanging="0" w:start="2160" w:end="0"/>
      <w:jc w:val="both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8">
    <w:name w:val="toc 8"/>
    <w:next w:val="Normal"/>
    <w:pPr>
      <w:widowControl/>
      <w:tabs>
        <w:tab w:val="clear" w:pos="720"/>
        <w:tab w:val="left" w:pos="3240" w:leader="none"/>
        <w:tab w:val="right" w:pos="9360" w:leader="dot"/>
      </w:tabs>
      <w:bidi w:val="0"/>
      <w:ind w:hanging="0" w:start="2520" w:end="0"/>
      <w:jc w:val="both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9">
    <w:name w:val="toc 9"/>
    <w:next w:val="Normal"/>
    <w:pPr>
      <w:widowControl/>
      <w:tabs>
        <w:tab w:val="clear" w:pos="720"/>
        <w:tab w:val="left" w:pos="3600" w:leader="none"/>
        <w:tab w:val="right" w:pos="9360" w:leader="dot"/>
      </w:tabs>
      <w:bidi w:val="0"/>
      <w:ind w:hanging="0" w:start="2880" w:end="0"/>
      <w:jc w:val="both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0">
    <w:name w:val="FLI .5&quot;/Lft Ind .0&quot;"/>
    <w:next w:val="Normal"/>
    <w:qFormat/>
    <w:pPr>
      <w:widowControl/>
      <w:bidi w:val="0"/>
      <w:spacing w:before="0" w:after="240"/>
      <w:ind w:firstLine="720" w:start="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5">
    <w:name w:val="FLI .5&quot;/Lft Ind .5&quot;"/>
    <w:next w:val="Normal"/>
    <w:qFormat/>
    <w:pPr>
      <w:widowControl/>
      <w:bidi w:val="0"/>
      <w:spacing w:before="0" w:after="240"/>
      <w:ind w:firstLine="72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1">
    <w:name w:val="FLI .5&quot;/Lft Ind 1&quot;"/>
    <w:next w:val="Normal"/>
    <w:qFormat/>
    <w:pPr>
      <w:widowControl/>
      <w:bidi w:val="0"/>
      <w:spacing w:before="0" w:after="240"/>
      <w:ind w:firstLine="72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15">
    <w:name w:val="FLI .5&quot;/Lft Ind 1.5&quot;"/>
    <w:next w:val="Normal"/>
    <w:qFormat/>
    <w:pPr>
      <w:widowControl/>
      <w:bidi w:val="0"/>
      <w:spacing w:before="0" w:after="240"/>
      <w:ind w:firstLine="720" w:start="216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0">
    <w:name w:val="HI .5&quot;/Lft Ind .0&quot;"/>
    <w:next w:val="Normal"/>
    <w:qFormat/>
    <w:pPr>
      <w:widowControl/>
      <w:bidi w:val="0"/>
      <w:spacing w:before="0" w:after="240"/>
      <w:ind w:hanging="72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5">
    <w:name w:val="HI .5&quot;/Lft Ind .5&quot;"/>
    <w:next w:val="Normal"/>
    <w:qFormat/>
    <w:pPr>
      <w:widowControl/>
      <w:bidi w:val="0"/>
      <w:spacing w:before="0" w:after="240"/>
      <w:ind w:hanging="72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1">
    <w:name w:val="HI .5&quot;/Lft Ind 1&quot;"/>
    <w:next w:val="Normal"/>
    <w:qFormat/>
    <w:pPr>
      <w:widowControl/>
      <w:bidi w:val="0"/>
      <w:spacing w:before="0" w:after="240"/>
      <w:ind w:hanging="720" w:start="2160" w:end="0"/>
      <w:jc w:val="both"/>
    </w:pPr>
    <w:rPr>
      <w:rFonts w:ascii="Times New Roman" w:hAnsi="Times New Roman" w:eastAsia="Times New Roman" w:cs="Times New Roman"/>
      <w:color w:val="auto"/>
      <w:spacing w:val="2"/>
      <w:sz w:val="24"/>
      <w:szCs w:val="20"/>
      <w:lang w:val="en-US" w:bidi="ar-SA" w:eastAsia="zh-CN"/>
    </w:rPr>
  </w:style>
  <w:style w:type="paragraph" w:styleId="HI1LftInd15">
    <w:name w:val="HI 1&quot;/Lft Ind 1.5&quot;"/>
    <w:next w:val="Normal"/>
    <w:qFormat/>
    <w:pPr>
      <w:widowControl/>
      <w:bidi w:val="0"/>
      <w:spacing w:before="0" w:after="240"/>
      <w:ind w:hanging="720" w:start="288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0">
    <w:name w:val="Lft Ind .0&quot;"/>
    <w:next w:val="Normal"/>
    <w:qFormat/>
    <w:pPr>
      <w:widowControl/>
      <w:bidi w:val="0"/>
      <w:spacing w:before="0" w:after="24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5">
    <w:name w:val="Lft Ind .5&quot;"/>
    <w:next w:val="Normal"/>
    <w:qFormat/>
    <w:pPr>
      <w:widowControl/>
      <w:bidi w:val="0"/>
      <w:spacing w:before="0" w:after="240"/>
      <w:ind w:hanging="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1">
    <w:name w:val="Lft Ind 1&quot;"/>
    <w:next w:val="Normal"/>
    <w:qFormat/>
    <w:pPr>
      <w:widowControl/>
      <w:bidi w:val="0"/>
      <w:spacing w:before="0" w:after="240"/>
      <w:ind w:hanging="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15">
    <w:name w:val="Lft Ind 1.5&quot;"/>
    <w:next w:val="Normal"/>
    <w:qFormat/>
    <w:pPr>
      <w:widowControl/>
      <w:bidi w:val="0"/>
      <w:spacing w:before="0" w:after="240"/>
      <w:ind w:hanging="0" w:start="216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1Center">
    <w:name w:val="@TOC1Center"/>
    <w:next w:val="Normal"/>
    <w:qFormat/>
    <w:pPr>
      <w:keepNext w:val="true"/>
      <w:widowControl/>
      <w:bidi w:val="0"/>
      <w:spacing w:before="0" w:after="240"/>
      <w:jc w:val="center"/>
      <w:outlineLvl w:val="0"/>
    </w:pPr>
    <w:rPr>
      <w:rFonts w:ascii="Times New Roman" w:hAnsi="Times New Roman" w:eastAsia="Times New Roman" w:cs="Times New Roman"/>
      <w:caps/>
      <w:color w:val="auto"/>
      <w:sz w:val="24"/>
      <w:szCs w:val="20"/>
      <w:lang w:val="en-US" w:bidi="ar-SA" w:eastAsia="zh-CN"/>
    </w:rPr>
  </w:style>
  <w:style w:type="paragraph" w:styleId="TOC1Left">
    <w:name w:val="@TOC1Left"/>
    <w:qFormat/>
    <w:pPr>
      <w:keepNext w:val="true"/>
      <w:widowControl/>
      <w:bidi w:val="0"/>
      <w:spacing w:before="0" w:after="24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Ind1">
    <w:name w:val="@TOC2Ind1"/>
    <w:qFormat/>
    <w:pPr>
      <w:widowControl/>
      <w:tabs>
        <w:tab w:val="left" w:pos="720" w:leader="none"/>
      </w:tabs>
      <w:bidi w:val="0"/>
      <w:spacing w:before="0" w:after="240"/>
      <w:ind w:hanging="720" w:start="720" w:end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Tab1">
    <w:name w:val="@TOC2Tab1"/>
    <w:qFormat/>
    <w:pPr>
      <w:widowControl/>
      <w:tabs>
        <w:tab w:val="left" w:pos="720" w:leader="none"/>
      </w:tabs>
      <w:bidi w:val="0"/>
      <w:spacing w:before="0" w:after="240"/>
      <w:ind w:firstLine="720" w:start="0" w:end="0"/>
      <w:jc w:val="both"/>
      <w:outlineLvl w:val="1"/>
    </w:pPr>
    <w:rPr>
      <w:rFonts w:ascii="Times New Roman" w:hAnsi="Times New Roman" w:eastAsia="Times New Roman" w:cs="Times New Roman"/>
      <w:color w:val="auto"/>
      <w:spacing w:val="2"/>
      <w:sz w:val="24"/>
      <w:szCs w:val="20"/>
      <w:lang w:val="en-US" w:bidi="ar-SA" w:eastAsia="zh-CN"/>
    </w:rPr>
  </w:style>
  <w:style w:type="paragraph" w:styleId="TOC3Ind2">
    <w:name w:val="@TOC3Ind2"/>
    <w:qFormat/>
    <w:pPr>
      <w:widowControl/>
      <w:tabs>
        <w:tab w:val="clear" w:pos="720"/>
        <w:tab w:val="left" w:pos="1440" w:leader="none"/>
      </w:tabs>
      <w:bidi w:val="0"/>
      <w:spacing w:before="0" w:after="240"/>
      <w:ind w:hanging="720" w:start="144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3Tab2">
    <w:name w:val="@TOC3Tab2"/>
    <w:qFormat/>
    <w:pPr>
      <w:widowControl/>
      <w:tabs>
        <w:tab w:val="clear" w:pos="720"/>
        <w:tab w:val="left" w:pos="1440" w:leader="none"/>
      </w:tabs>
      <w:bidi w:val="0"/>
      <w:spacing w:before="0" w:after="240"/>
      <w:ind w:firstLine="720" w:start="72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Ind3">
    <w:name w:val="@TOC4Ind3"/>
    <w:qFormat/>
    <w:pPr>
      <w:widowControl/>
      <w:tabs>
        <w:tab w:val="clear" w:pos="720"/>
        <w:tab w:val="left" w:pos="2160" w:leader="none"/>
      </w:tabs>
      <w:bidi w:val="0"/>
      <w:spacing w:before="0" w:after="240"/>
      <w:ind w:hanging="720" w:start="216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Tab3">
    <w:name w:val="@TOC4Tab3"/>
    <w:qFormat/>
    <w:pPr>
      <w:widowControl/>
      <w:tabs>
        <w:tab w:val="clear" w:pos="720"/>
        <w:tab w:val="left" w:pos="2160" w:leader="none"/>
      </w:tabs>
      <w:bidi w:val="0"/>
      <w:spacing w:before="0" w:after="240"/>
      <w:ind w:firstLine="720" w:start="144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EndnoteText12a">
    <w:name w:val="Endnote Text 12a"/>
    <w:basedOn w:val="EndnoteText11a"/>
    <w:qFormat/>
    <w:pPr>
      <w:spacing w:before="0" w:after="240"/>
    </w:pPr>
    <w:rPr/>
  </w:style>
  <w:style w:type="paragraph" w:styleId="EndnoteText12b">
    <w:name w:val="Endnote Text 12b"/>
    <w:basedOn w:val="EndnoteText11a"/>
    <w:qFormat/>
    <w:pPr>
      <w:spacing w:before="0" w:after="240"/>
      <w:ind w:hanging="576" w:start="576" w:end="0"/>
    </w:pPr>
    <w:rPr/>
  </w:style>
  <w:style w:type="paragraph" w:styleId="FootnoteText12a">
    <w:name w:val="Footnote Text 12a"/>
    <w:basedOn w:val="FootnoteText11a"/>
    <w:qFormat/>
    <w:pPr>
      <w:spacing w:before="0" w:after="240"/>
    </w:pPr>
    <w:rPr>
      <w:sz w:val="24"/>
    </w:rPr>
  </w:style>
  <w:style w:type="paragraph" w:styleId="FootnoteText12b">
    <w:name w:val="Footnote Text 12b"/>
    <w:basedOn w:val="FootnoteText11b"/>
    <w:qFormat/>
    <w:pPr>
      <w:tabs>
        <w:tab w:val="clear" w:pos="576"/>
      </w:tabs>
      <w:spacing w:before="0" w:after="240"/>
    </w:pPr>
    <w:rPr>
      <w:sz w:val="24"/>
    </w:rPr>
  </w:style>
  <w:style w:type="paragraph" w:styleId="MDCKBasic">
    <w:name w:val="MDCK Basic"/>
    <w:next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ootnoteText">
    <w:name w:val="footnote text"/>
    <w:pPr>
      <w:widowControl/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cc">
    <w:name w:val="cc"/>
    <w:basedOn w:val="Normal"/>
    <w:qFormat/>
    <w:pPr>
      <w:ind w:hanging="720" w:start="720" w:end="0"/>
      <w:jc w:val="start"/>
    </w:pPr>
    <w:rPr/>
  </w:style>
  <w:style w:type="paragraph" w:styleId="Normal10pt">
    <w:name w:val="Normal10pt"/>
    <w:basedOn w:val="MDCKBasic"/>
    <w:qFormat/>
    <w:pPr/>
    <w:rPr>
      <w:sz w:val="20"/>
    </w:rPr>
  </w:style>
  <w:style w:type="paragraph" w:styleId="SignatureBlock1">
    <w:name w:val="Signature Block1"/>
    <w:basedOn w:val="MDCKBasic"/>
    <w:qFormat/>
    <w:pPr>
      <w:tabs>
        <w:tab w:val="clear" w:pos="720"/>
        <w:tab w:val="right" w:pos="9360" w:leader="none"/>
      </w:tabs>
      <w:spacing w:before="0" w:after="240"/>
      <w:ind w:hanging="0" w:start="4680" w:end="0"/>
      <w:jc w:val="start"/>
    </w:pPr>
    <w:rPr/>
  </w:style>
  <w:style w:type="paragraph" w:styleId="SignatureBlock2">
    <w:name w:val="Signature Block2"/>
    <w:basedOn w:val="SignatureBlock1"/>
    <w:qFormat/>
    <w:pPr>
      <w:spacing w:before="0" w:after="0"/>
    </w:pPr>
    <w:rPr/>
  </w:style>
  <w:style w:type="paragraph" w:styleId="Date">
    <w:name w:val="Date"/>
    <w:basedOn w:val="MDCKBasic"/>
    <w:next w:val="Normal"/>
    <w:qFormat/>
    <w:pPr>
      <w:spacing w:before="0" w:after="360"/>
      <w:jc w:val="center"/>
    </w:pPr>
    <w:rPr/>
  </w:style>
  <w:style w:type="paragraph" w:styleId="Signature">
    <w:name w:val="Signature"/>
    <w:basedOn w:val="Normal"/>
    <w:pPr>
      <w:ind w:hanging="0" w:start="4680" w:end="0"/>
    </w:pPr>
    <w:rPr/>
  </w:style>
  <w:style w:type="paragraph" w:styleId="Salutation">
    <w:name w:val="Salutation"/>
    <w:basedOn w:val="Normal"/>
    <w:next w:val="Normal"/>
    <w:qFormat/>
    <w:pPr>
      <w:spacing w:before="0" w:after="240"/>
      <w:jc w:val="start"/>
    </w:pPr>
    <w:rPr/>
  </w:style>
  <w:style w:type="paragraph" w:styleId="Address">
    <w:name w:val="Address"/>
    <w:basedOn w:val="MDCKBasic"/>
    <w:qFormat/>
    <w:pPr>
      <w:jc w:val="start"/>
    </w:pPr>
    <w:rPr/>
  </w:style>
  <w:style w:type="paragraph" w:styleId="SignatureBlock">
    <w:name w:val="*Signature Block"/>
    <w:basedOn w:val="Normal"/>
    <w:qFormat/>
    <w:pPr>
      <w:tabs>
        <w:tab w:val="clear" w:pos="720"/>
        <w:tab w:val="left" w:pos="5400" w:leader="none"/>
        <w:tab w:val="left" w:pos="9270" w:leader="none"/>
      </w:tabs>
      <w:ind w:hanging="0" w:start="4680" w:end="0"/>
      <w:jc w:val="start"/>
    </w:pPr>
    <w:rPr/>
  </w:style>
  <w:style w:type="paragraph" w:styleId="BaseHeading">
    <w:name w:val="*BaseHeading"/>
    <w:basedOn w:val="Normal"/>
    <w:qFormat/>
    <w:pPr>
      <w:keepNext w:val="true"/>
      <w:keepLines/>
      <w:suppressAutoHyphens w:val="true"/>
      <w:spacing w:before="60" w:after="240"/>
      <w:jc w:val="center"/>
    </w:pPr>
    <w:rPr/>
  </w:style>
  <w:style w:type="paragraph" w:styleId="BaseNumber">
    <w:name w:val="*BaseNumber"/>
    <w:basedOn w:val="Normal"/>
    <w:qFormat/>
    <w:pPr>
      <w:keepNext w:val="true"/>
      <w:suppressAutoHyphens w:val="true"/>
      <w:spacing w:before="0" w:after="240"/>
    </w:pPr>
    <w:rPr/>
  </w:style>
  <w:style w:type="paragraph" w:styleId="BaseOther">
    <w:name w:val="*BaseOther"/>
    <w:basedOn w:val="Normal"/>
    <w:qFormat/>
    <w:pPr>
      <w:suppressAutoHyphens w:val="true"/>
      <w:jc w:val="start"/>
    </w:pPr>
    <w:rPr/>
  </w:style>
  <w:style w:type="paragraph" w:styleId="BaseParagraph">
    <w:name w:val="*BaseParagraph"/>
    <w:basedOn w:val="Normal"/>
    <w:qFormat/>
    <w:pPr>
      <w:suppressAutoHyphens w:val="true"/>
      <w:spacing w:before="0" w:after="240"/>
    </w:pPr>
    <w:rPr/>
  </w:style>
  <w:style w:type="paragraph" w:styleId="ListBullet5">
    <w:name w:val="*List Bullet .5"/>
    <w:basedOn w:val="BaseOther"/>
    <w:qFormat/>
    <w:pPr>
      <w:numPr>
        <w:ilvl w:val="0"/>
        <w:numId w:val="3"/>
      </w:numPr>
      <w:jc w:val="both"/>
    </w:pPr>
    <w:rPr/>
  </w:style>
  <w:style w:type="paragraph" w:styleId="ListNumber5">
    <w:name w:val="*List Number .5"/>
    <w:basedOn w:val="BaseOther"/>
    <w:qFormat/>
    <w:pPr>
      <w:numPr>
        <w:ilvl w:val="0"/>
        <w:numId w:val="2"/>
      </w:numPr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2000-12-12T14:38:00Z</dcterms:created>
  <dc:creator>marr</dc:creator>
  <dc:description/>
  <cp:keywords>Normal.dot</cp:keywords>
  <dc:language>en-CA</dc:language>
  <cp:lastModifiedBy>rfrank</cp:lastModifiedBy>
  <cp:lastPrinted>2000-12-08T14:56:00Z</cp:lastPrinted>
  <dcterms:modified xsi:type="dcterms:W3CDTF">2000-12-12T14:38:00Z</dcterms:modified>
  <cp:revision>2</cp:revision>
  <dc:subject/>
  <dc:title>Normal.dot</dc:title>
</cp:coreProperties>
</file>