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38" w:type="dxa"/>
        <w:jc w:val="start"/>
        <w:tblInd w:w="-60" w:type="dxa"/>
        <w:tblLayout w:type="fixed"/>
        <w:tblCellMar>
          <w:top w:w="0" w:type="dxa"/>
          <w:start w:w="120" w:type="dxa"/>
          <w:bottom w:w="0" w:type="dxa"/>
          <w:end w:w="120" w:type="dxa"/>
        </w:tblCellMar>
      </w:tblPr>
      <w:tblGrid>
        <w:gridCol w:w="2409"/>
        <w:gridCol w:w="21"/>
        <w:gridCol w:w="7290"/>
        <w:gridCol w:w="18"/>
      </w:tblGrid>
      <w:tr>
        <w:trPr/>
        <w:tc>
          <w:tcPr>
            <w:tcW w:w="9720" w:type="dxa"/>
            <w:gridSpan w:val="3"/>
            <w:tcBorders>
              <w:top w:val="double" w:sz="6" w:space="0" w:color="000000"/>
              <w:start w:val="double" w:sz="6" w:space="0" w:color="000000"/>
              <w:bottom w:val="double" w:sz="6" w:space="0" w:color="000000"/>
              <w:end w:val="double" w:sz="6" w:space="0" w:color="000000"/>
            </w:tcBorders>
            <w:shd w:fill="E5E5E5" w:val="clear"/>
          </w:tcPr>
          <w:p>
            <w:pPr>
              <w:pStyle w:val="Normal"/>
              <w:tabs>
                <w:tab w:val="clear" w:pos="720"/>
                <w:tab w:val="center" w:pos="4560" w:leader="none"/>
              </w:tabs>
              <w:suppressAutoHyphens w:val="true"/>
              <w:spacing w:before="90" w:after="54"/>
              <w:ind w:end="720"/>
              <w:jc w:val="center"/>
              <w:rPr>
                <w:b/>
                <w:spacing w:val="-2"/>
                <w:sz w:val="22"/>
              </w:rPr>
            </w:pPr>
            <w:r>
              <w:rPr>
                <w:b/>
                <w:spacing w:val="-2"/>
                <w:sz w:val="22"/>
              </w:rPr>
              <w:t>Executive Summary</w:t>
            </w:r>
          </w:p>
          <w:p>
            <w:pPr>
              <w:pStyle w:val="Normal"/>
              <w:tabs>
                <w:tab w:val="clear" w:pos="720"/>
                <w:tab w:val="center" w:pos="4560" w:leader="none"/>
              </w:tabs>
              <w:suppressAutoHyphens w:val="true"/>
              <w:spacing w:before="90" w:after="54"/>
              <w:ind w:end="720"/>
              <w:jc w:val="center"/>
              <w:rPr>
                <w:b/>
                <w:spacing w:val="-2"/>
                <w:sz w:val="22"/>
              </w:rPr>
            </w:pPr>
            <w:r>
              <w:rPr>
                <w:b/>
                <w:spacing w:val="-2"/>
                <w:sz w:val="22"/>
              </w:rPr>
              <w:t>for</w:t>
            </w:r>
          </w:p>
          <w:p>
            <w:pPr>
              <w:pStyle w:val="Normal"/>
              <w:tabs>
                <w:tab w:val="clear" w:pos="720"/>
                <w:tab w:val="center" w:pos="4560" w:leader="none"/>
              </w:tabs>
              <w:suppressAutoHyphens w:val="true"/>
              <w:spacing w:before="90" w:after="54"/>
              <w:ind w:end="720"/>
              <w:jc w:val="center"/>
              <w:rPr>
                <w:b/>
                <w:spacing w:val="-2"/>
                <w:sz w:val="22"/>
              </w:rPr>
            </w:pPr>
            <w:r>
              <w:rPr>
                <w:b/>
                <w:spacing w:val="-2"/>
                <w:sz w:val="22"/>
              </w:rPr>
              <w:t>J. D. Irving, Limited</w:t>
            </w:r>
          </w:p>
          <w:p>
            <w:pPr>
              <w:pStyle w:val="Normal"/>
              <w:tabs>
                <w:tab w:val="clear" w:pos="720"/>
                <w:tab w:val="center" w:pos="4560" w:leader="none"/>
              </w:tabs>
              <w:suppressAutoHyphens w:val="true"/>
              <w:spacing w:before="90" w:after="54"/>
              <w:ind w:end="720"/>
              <w:jc w:val="center"/>
              <w:rPr>
                <w:spacing w:val="-2"/>
                <w:sz w:val="22"/>
              </w:rPr>
            </w:pPr>
            <w:r>
              <w:rPr>
                <w:b/>
                <w:spacing w:val="-2"/>
                <w:sz w:val="22"/>
              </w:rPr>
              <w:t xml:space="preserve">Gas Supply Purchase </w:t>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Deal Summary:</w:t>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BodyText3"/>
              <w:rPr/>
            </w:pPr>
            <w:r>
              <w:rPr/>
              <w:t xml:space="preserve">Captured below is a proposal to purchase gas supply delivered to St. Stephen in New Brunswick.  </w:t>
            </w:r>
          </w:p>
          <w:p>
            <w:pPr>
              <w:pStyle w:val="Normal"/>
              <w:ind w:end="720"/>
              <w:jc w:val="both"/>
              <w:rPr/>
            </w:pPr>
            <w:r>
              <w:rPr/>
              <w:t xml:space="preserve">  </w:t>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jc w:val="both"/>
              <w:rPr/>
            </w:pPr>
            <w:r>
              <w:rPr/>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jc w:val="both"/>
              <w:rPr/>
            </w:pPr>
            <w:r>
              <w:rPr/>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Gas Supplier:</w:t>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J. D. Irving, Limited (JDI)</w:t>
            </w:r>
          </w:p>
          <w:p>
            <w:pPr>
              <w:pStyle w:val="Normal"/>
              <w:ind w:end="720"/>
              <w:jc w:val="both"/>
              <w:rPr/>
            </w:pPr>
            <w:r>
              <w:rPr/>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jc w:val="both"/>
              <w:rPr/>
            </w:pPr>
            <w:r>
              <w:rPr/>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jc w:val="both"/>
              <w:rPr/>
            </w:pPr>
            <w:r>
              <w:rPr/>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rPr/>
            </w:pPr>
            <w:r>
              <w:rPr/>
              <w:t>Gas Purchaser:</w:t>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Enron North America (Enron)</w:t>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jc w:val="both"/>
              <w:rPr/>
            </w:pPr>
            <w:r>
              <w:rPr/>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jc w:val="both"/>
              <w:rPr/>
            </w:pPr>
            <w:r>
              <w:rPr/>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Service:</w:t>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 xml:space="preserve">Enron shall purchase on a firm basis gas supply from JDI at St. Stephen. Enron will then transport supply to Dracut. </w:t>
            </w:r>
          </w:p>
          <w:p>
            <w:pPr>
              <w:pStyle w:val="Normal"/>
              <w:ind w:end="720"/>
              <w:jc w:val="both"/>
              <w:rPr/>
            </w:pPr>
            <w:r>
              <w:rPr/>
            </w:r>
          </w:p>
          <w:p>
            <w:pPr>
              <w:pStyle w:val="Normal"/>
              <w:ind w:end="720"/>
              <w:jc w:val="both"/>
              <w:rPr/>
            </w:pPr>
            <w:r>
              <w:rPr/>
              <w:t>JDI shall provide firm supply to Enron at St. Stephen. In the event, JDI can not provide gas supply for any reason other than pipeline force majeure, JDI shall keep Enron financially whole against its obligations.</w:t>
            </w:r>
          </w:p>
          <w:p>
            <w:pPr>
              <w:pStyle w:val="Normal"/>
              <w:ind w:end="720"/>
              <w:jc w:val="both"/>
              <w:rPr/>
            </w:pPr>
            <w:r>
              <w:rPr/>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jc w:val="both"/>
              <w:rPr/>
            </w:pPr>
            <w:r>
              <w:rPr/>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jc w:val="both"/>
              <w:rPr/>
            </w:pPr>
            <w:r>
              <w:rPr/>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Term:</w:t>
            </w:r>
          </w:p>
          <w:p>
            <w:pPr>
              <w:pStyle w:val="Normal"/>
              <w:ind w:end="720"/>
              <w:jc w:val="both"/>
              <w:rPr/>
            </w:pPr>
            <w:r>
              <w:rPr/>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3 months, beginning  February 1, 2001 and ending April 30, 2001.</w:t>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jc w:val="both"/>
              <w:rPr/>
            </w:pPr>
            <w:r>
              <w:rPr/>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jc w:val="both"/>
              <w:rPr/>
            </w:pPr>
            <w:r>
              <w:rPr/>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Receipt Point:</w:t>
            </w:r>
          </w:p>
          <w:p>
            <w:pPr>
              <w:pStyle w:val="Heading2"/>
              <w:rPr/>
            </w:pPr>
            <w:r>
              <w:rPr/>
              <w:t xml:space="preserve">  </w:t>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 xml:space="preserve">St. Stephen in New Brunswick </w:t>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 xml:space="preserve"> </w:t>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 xml:space="preserve">  </w:t>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Delivery Point:</w:t>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Dracut</w:t>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jc w:val="both"/>
              <w:rPr/>
            </w:pPr>
            <w:r>
              <w:rPr/>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jc w:val="both"/>
              <w:rPr/>
            </w:pPr>
            <w:r>
              <w:rPr/>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162"/>
              <w:jc w:val="both"/>
              <w:rPr/>
            </w:pPr>
            <w:r>
              <w:rPr/>
              <w:t>Volume  Commitment:</w:t>
            </w:r>
          </w:p>
          <w:p>
            <w:pPr>
              <w:pStyle w:val="Normal"/>
              <w:ind w:end="720"/>
              <w:jc w:val="both"/>
              <w:rPr>
                <w:i/>
                <w:i/>
              </w:rPr>
            </w:pPr>
            <w:r>
              <w:rPr>
                <w:i/>
              </w:rPr>
            </w:r>
          </w:p>
          <w:p>
            <w:pPr>
              <w:pStyle w:val="Normal"/>
              <w:ind w:end="720"/>
              <w:jc w:val="both"/>
              <w:rPr>
                <w:i/>
                <w:i/>
              </w:rPr>
            </w:pPr>
            <w:r>
              <w:rPr>
                <w:i/>
              </w:rPr>
              <w:t xml:space="preserve"> </w:t>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 xml:space="preserve">13,800 MMBtu per day </w:t>
            </w:r>
          </w:p>
          <w:p>
            <w:pPr>
              <w:pStyle w:val="Normal"/>
              <w:ind w:end="720"/>
              <w:jc w:val="both"/>
              <w:rPr/>
            </w:pPr>
            <w:r>
              <w:rPr/>
            </w:r>
          </w:p>
          <w:p>
            <w:pPr>
              <w:pStyle w:val="Normal"/>
              <w:ind w:end="720"/>
              <w:jc w:val="both"/>
              <w:rPr/>
            </w:pPr>
            <w:r>
              <w:rPr/>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92"/>
              <w:jc w:val="both"/>
              <w:rPr/>
            </w:pPr>
            <w:r>
              <w:rPr/>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rPr/>
            </w:pPr>
            <w:r>
              <w:rPr/>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92"/>
              <w:jc w:val="both"/>
              <w:rPr/>
            </w:pPr>
            <w:r>
              <w:rPr/>
              <w:t xml:space="preserve">Commodity </w:t>
            </w:r>
          </w:p>
          <w:p>
            <w:pPr>
              <w:pStyle w:val="Normal"/>
              <w:ind w:end="720"/>
              <w:jc w:val="both"/>
              <w:rPr/>
            </w:pPr>
            <w:r>
              <w:rPr/>
              <w:t>Pricing:</w:t>
            </w:r>
          </w:p>
          <w:p>
            <w:pPr>
              <w:pStyle w:val="Normal"/>
              <w:ind w:end="720"/>
              <w:jc w:val="both"/>
              <w:rPr/>
            </w:pPr>
            <w:r>
              <w:rPr/>
              <w:t xml:space="preserve"> </w:t>
            </w:r>
          </w:p>
          <w:p>
            <w:pPr>
              <w:pStyle w:val="Normal"/>
              <w:ind w:end="720"/>
              <w:jc w:val="both"/>
              <w:rPr/>
            </w:pPr>
            <w:r>
              <w:rPr/>
              <w:t xml:space="preserve">   </w:t>
            </w:r>
          </w:p>
          <w:p>
            <w:pPr>
              <w:pStyle w:val="BodyText3"/>
              <w:ind w:end="252"/>
              <w:rPr/>
            </w:pPr>
            <w:r>
              <w:rPr/>
              <w:t xml:space="preserve"> </w:t>
            </w:r>
          </w:p>
          <w:p>
            <w:pPr>
              <w:pStyle w:val="Normal"/>
              <w:ind w:end="720"/>
              <w:rPr/>
            </w:pPr>
            <w:r>
              <w:rPr/>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BodyText3"/>
              <w:rPr/>
            </w:pPr>
            <w:r>
              <w:rPr/>
              <w:t xml:space="preserve">Enron will pay JDI for supplies delivered to St. Stephen. This price removes all monthly and daily risk to the energy price.  </w:t>
            </w:r>
          </w:p>
          <w:p>
            <w:pPr>
              <w:pStyle w:val="Normal"/>
              <w:ind w:end="720"/>
              <w:rPr/>
            </w:pPr>
            <w:r>
              <w:rPr/>
            </w:r>
          </w:p>
          <w:p>
            <w:pPr>
              <w:pStyle w:val="Normal"/>
              <w:ind w:end="720"/>
              <w:rPr/>
            </w:pPr>
            <w:r>
              <w:rPr/>
              <w:t xml:space="preserve">In return for services rendered, JDI will pay Enron $1.75/MMBtu (US). This fee offsets the exposure Enron has received from the purchase of gas from JDI. </w:t>
            </w:r>
            <w:r>
              <w:rPr>
                <w:b/>
                <w:i/>
              </w:rPr>
              <w:t>The price offered to JDI includes $.10/MMBtu of additional expense to JDI to convert Secondary take away rights at Dracut to Primary take away rights.</w:t>
            </w:r>
          </w:p>
          <w:p>
            <w:pPr>
              <w:pStyle w:val="Normal"/>
              <w:ind w:start="-18" w:end="720"/>
              <w:rPr>
                <w:b/>
                <w:i/>
                <w:i/>
              </w:rPr>
            </w:pPr>
            <w:r>
              <w:rPr>
                <w:b/>
                <w:i/>
              </w:rPr>
            </w:r>
          </w:p>
          <w:p>
            <w:pPr>
              <w:pStyle w:val="Normal"/>
              <w:ind w:start="-18" w:end="720"/>
              <w:rPr/>
            </w:pPr>
            <w:r>
              <w:rPr/>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jc w:val="both"/>
              <w:rPr/>
            </w:pPr>
            <w:r>
              <w:rPr/>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rPr/>
            </w:pPr>
            <w:r>
              <w:rPr/>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342"/>
              <w:jc w:val="both"/>
              <w:rPr/>
            </w:pPr>
            <w:r>
              <w:rPr/>
              <w:t>Nomination Flexibility</w:t>
            </w:r>
          </w:p>
          <w:p>
            <w:pPr>
              <w:pStyle w:val="Normal"/>
              <w:ind w:end="342"/>
              <w:jc w:val="both"/>
              <w:rPr/>
            </w:pPr>
            <w:r>
              <w:rPr/>
            </w:r>
          </w:p>
          <w:p>
            <w:pPr>
              <w:pStyle w:val="Normal"/>
              <w:ind w:end="342"/>
              <w:jc w:val="both"/>
              <w:rPr/>
            </w:pPr>
            <w:r>
              <w:rPr/>
              <w:t xml:space="preserve">   </w:t>
            </w:r>
            <w:r>
              <w:rPr>
                <w:i/>
              </w:rPr>
              <w:t xml:space="preserve">First of the Month </w:t>
            </w:r>
          </w:p>
          <w:p>
            <w:pPr>
              <w:pStyle w:val="Normal"/>
              <w:ind w:end="342"/>
              <w:jc w:val="both"/>
              <w:rPr>
                <w:i/>
                <w:i/>
              </w:rPr>
            </w:pPr>
            <w:r>
              <w:rPr>
                <w:i/>
              </w:rPr>
              <w:t xml:space="preserve">   </w:t>
            </w:r>
            <w:r>
              <w:rPr>
                <w:i/>
              </w:rPr>
              <w:t>Nominations</w:t>
            </w:r>
          </w:p>
          <w:p>
            <w:pPr>
              <w:pStyle w:val="Heading6"/>
              <w:rPr>
                <w:i w:val="false"/>
                <w:i w:val="false"/>
              </w:rPr>
            </w:pPr>
            <w:r>
              <w:rPr>
                <w:i w:val="false"/>
              </w:rPr>
            </w:r>
          </w:p>
          <w:p>
            <w:pPr>
              <w:pStyle w:val="Normal"/>
              <w:ind w:end="342"/>
              <w:jc w:val="both"/>
              <w:rPr>
                <w:i/>
                <w:i/>
              </w:rPr>
            </w:pPr>
            <w:r>
              <w:rPr>
                <w:i/>
              </w:rPr>
              <w:t xml:space="preserve"> </w:t>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rPr>
                <w:i/>
                <w:i/>
              </w:rPr>
            </w:pPr>
            <w:r>
              <w:rPr>
                <w:i/>
              </w:rPr>
            </w:r>
          </w:p>
          <w:p>
            <w:pPr>
              <w:pStyle w:val="Normal"/>
              <w:ind w:end="720"/>
              <w:rPr/>
            </w:pPr>
            <w:r>
              <w:rPr/>
            </w:r>
          </w:p>
          <w:p>
            <w:pPr>
              <w:pStyle w:val="Normal"/>
              <w:ind w:end="720"/>
              <w:rPr/>
            </w:pPr>
            <w:r>
              <w:rPr/>
              <w:t xml:space="preserve">JDI shall provide FOM nominations to Enron by 9:00 am EST one day prior to NYMEX settlement. </w:t>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jc w:val="both"/>
              <w:rPr/>
            </w:pPr>
            <w:r>
              <w:rPr/>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rPr/>
            </w:pPr>
            <w:r>
              <w:rPr/>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252"/>
              <w:rPr/>
            </w:pPr>
            <w:r>
              <w:rPr/>
              <w:t>Transport and Charges:</w:t>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rPr/>
            </w:pPr>
            <w:r>
              <w:rPr/>
              <w:t>JDI shall pay 100% of the transport charges associated with supply received at St. Stephen and transported to Dracut. Typical pipeline tariff reservation fees are $.715/MMBtu (US) and 1.5% fuel for February through March and 1.4% for April.</w:t>
            </w:r>
          </w:p>
        </w:tc>
      </w:tr>
      <w:tr>
        <w:trPr/>
        <w:tc>
          <w:tcPr>
            <w:tcW w:w="2430"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jc w:val="both"/>
              <w:rPr/>
            </w:pPr>
            <w:r>
              <w:rPr/>
            </w:r>
          </w:p>
        </w:tc>
        <w:tc>
          <w:tcPr>
            <w:tcW w:w="7308"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rPr/>
            </w:pPr>
            <w:r>
              <w:rPr/>
            </w:r>
          </w:p>
        </w:tc>
      </w:tr>
      <w:tr>
        <w:trPr/>
        <w:tc>
          <w:tcPr>
            <w:tcW w:w="2409"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Pipeline Quality</w:t>
            </w:r>
          </w:p>
        </w:tc>
        <w:tc>
          <w:tcPr>
            <w:tcW w:w="7311"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All gas supplied to Enron at St. Stephen and delivered to Dracut shall meet pipeline quality specifications</w:t>
            </w:r>
          </w:p>
          <w:p>
            <w:pPr>
              <w:pStyle w:val="Normal"/>
              <w:ind w:end="720"/>
              <w:jc w:val="both"/>
              <w:rPr/>
            </w:pPr>
            <w:r>
              <w:rPr/>
            </w:r>
          </w:p>
        </w:tc>
      </w:tr>
      <w:tr>
        <w:trPr/>
        <w:tc>
          <w:tcPr>
            <w:tcW w:w="2409"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jc w:val="both"/>
              <w:rPr/>
            </w:pPr>
            <w:r>
              <w:rPr/>
            </w:r>
          </w:p>
        </w:tc>
        <w:tc>
          <w:tcPr>
            <w:tcW w:w="7311"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ind w:end="720"/>
              <w:jc w:val="both"/>
              <w:rPr/>
            </w:pPr>
            <w:r>
              <w:rPr/>
            </w:r>
          </w:p>
        </w:tc>
      </w:tr>
      <w:tr>
        <w:trPr/>
        <w:tc>
          <w:tcPr>
            <w:tcW w:w="2409"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Assumptions:</w:t>
            </w:r>
          </w:p>
        </w:tc>
        <w:tc>
          <w:tcPr>
            <w:tcW w:w="7311"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numPr>
                <w:ilvl w:val="0"/>
                <w:numId w:val="2"/>
              </w:numPr>
              <w:ind w:hanging="360" w:start="360" w:end="720"/>
              <w:jc w:val="both"/>
              <w:rPr/>
            </w:pPr>
            <w:r>
              <w:rPr/>
              <w:t xml:space="preserve">Pricing formula for JDI’s supply contract with Duke: </w:t>
            </w:r>
          </w:p>
          <w:p>
            <w:pPr>
              <w:pStyle w:val="Normal"/>
              <w:ind w:end="720"/>
              <w:jc w:val="both"/>
              <w:rPr/>
            </w:pPr>
            <w:r>
              <w:rPr/>
            </w:r>
          </w:p>
          <w:p>
            <w:pPr>
              <w:pStyle w:val="Normal"/>
              <w:ind w:end="720"/>
              <w:jc w:val="both"/>
              <w:rPr/>
            </w:pPr>
            <w:r>
              <w:rPr/>
              <w:t xml:space="preserve">       </w:t>
            </w:r>
            <w:r>
              <w:rPr/>
              <w:t>80% of  (TET M3 and TGPL Z6 FOM indices), and</w:t>
            </w:r>
          </w:p>
          <w:p>
            <w:pPr>
              <w:pStyle w:val="Normal"/>
              <w:ind w:end="720"/>
              <w:jc w:val="both"/>
              <w:rPr/>
            </w:pPr>
            <w:r>
              <w:rPr/>
              <w:t xml:space="preserve">       </w:t>
            </w:r>
            <w:r>
              <w:rPr/>
              <w:t>20% of (TET M3, TGPL Z6NY, and TGPL NNY Daily indices)</w:t>
            </w:r>
          </w:p>
          <w:p>
            <w:pPr>
              <w:pStyle w:val="Normal"/>
              <w:ind w:end="720"/>
              <w:jc w:val="both"/>
              <w:rPr/>
            </w:pPr>
            <w:r>
              <w:rPr/>
            </w:r>
          </w:p>
          <w:p>
            <w:pPr>
              <w:pStyle w:val="Normal"/>
              <w:ind w:end="720"/>
              <w:jc w:val="both"/>
              <w:rPr/>
            </w:pPr>
            <w:r>
              <w:rPr/>
              <w:t xml:space="preserve">       </w:t>
            </w:r>
            <w:r>
              <w:rPr/>
              <w:t xml:space="preserve">Note: Daily prices are calculated by prices taken from January 15 – </w:t>
            </w:r>
          </w:p>
          <w:p>
            <w:pPr>
              <w:pStyle w:val="Normal"/>
              <w:ind w:end="720"/>
              <w:jc w:val="both"/>
              <w:rPr/>
            </w:pPr>
            <w:r>
              <w:rPr/>
              <w:t xml:space="preserve">                 </w:t>
            </w:r>
            <w:r>
              <w:rPr/>
              <w:t xml:space="preserve">February 14, 2001 determine the February price. The same  </w:t>
            </w:r>
          </w:p>
          <w:p>
            <w:pPr>
              <w:pStyle w:val="Normal"/>
              <w:ind w:end="720"/>
              <w:jc w:val="both"/>
              <w:rPr/>
            </w:pPr>
            <w:r>
              <w:rPr/>
              <w:t xml:space="preserve">                 </w:t>
            </w:r>
            <w:r>
              <w:rPr/>
              <w:t>methodology apples to the other months.</w:t>
            </w:r>
          </w:p>
          <w:p>
            <w:pPr>
              <w:pStyle w:val="Normal"/>
              <w:ind w:end="720"/>
              <w:jc w:val="both"/>
              <w:rPr/>
            </w:pPr>
            <w:r>
              <w:rPr/>
            </w:r>
          </w:p>
          <w:p>
            <w:pPr>
              <w:pStyle w:val="Normal"/>
              <w:numPr>
                <w:ilvl w:val="0"/>
                <w:numId w:val="2"/>
              </w:numPr>
              <w:ind w:hanging="360" w:start="360" w:end="720"/>
              <w:jc w:val="both"/>
              <w:rPr/>
            </w:pPr>
            <w:r>
              <w:rPr/>
              <w:t xml:space="preserve">If requested, JDI would provide adequate financial security to Enron to </w:t>
            </w:r>
          </w:p>
          <w:p>
            <w:pPr>
              <w:pStyle w:val="Normal"/>
              <w:ind w:end="720"/>
              <w:jc w:val="both"/>
              <w:rPr/>
            </w:pPr>
            <w:r>
              <w:rPr/>
              <w:t xml:space="preserve">       </w:t>
            </w:r>
            <w:r>
              <w:rPr/>
              <w:t>offset any credit risks.</w:t>
            </w:r>
          </w:p>
          <w:p>
            <w:pPr>
              <w:pStyle w:val="Normal"/>
              <w:ind w:end="720"/>
              <w:jc w:val="both"/>
              <w:rPr/>
            </w:pPr>
            <w:r>
              <w:rPr/>
            </w:r>
          </w:p>
          <w:p>
            <w:pPr>
              <w:pStyle w:val="Normal"/>
              <w:numPr>
                <w:ilvl w:val="0"/>
                <w:numId w:val="2"/>
              </w:numPr>
              <w:ind w:hanging="360" w:start="360" w:end="720"/>
              <w:jc w:val="both"/>
              <w:rPr/>
            </w:pPr>
            <w:r>
              <w:rPr/>
              <w:t xml:space="preserve">Enron’s offer to purchase supply is contingent on Maritimes and Northeast </w:t>
            </w:r>
          </w:p>
          <w:p>
            <w:pPr>
              <w:pStyle w:val="Normal"/>
              <w:ind w:end="720"/>
              <w:jc w:val="both"/>
              <w:rPr/>
            </w:pPr>
            <w:r>
              <w:rPr/>
              <w:t xml:space="preserve">       </w:t>
            </w:r>
            <w:r>
              <w:rPr/>
              <w:t>pipeline’s acceptance of  Enron’s firm transport request.</w:t>
            </w:r>
          </w:p>
          <w:p>
            <w:pPr>
              <w:pStyle w:val="Normal"/>
              <w:ind w:end="720"/>
              <w:jc w:val="both"/>
              <w:rPr/>
            </w:pPr>
            <w:r>
              <w:rPr/>
            </w:r>
          </w:p>
          <w:p>
            <w:pPr>
              <w:pStyle w:val="Normal"/>
              <w:ind w:end="720"/>
              <w:jc w:val="both"/>
              <w:rPr/>
            </w:pPr>
            <w:r>
              <w:rPr/>
              <w:t>(4) Prices quoted are indicative based on January 23, 2001 business date.</w:t>
            </w:r>
          </w:p>
          <w:p>
            <w:pPr>
              <w:pStyle w:val="Normal"/>
              <w:ind w:end="720"/>
              <w:jc w:val="both"/>
              <w:rPr/>
            </w:pPr>
            <w:r>
              <w:rPr/>
            </w:r>
          </w:p>
        </w:tc>
      </w:tr>
      <w:tr>
        <w:trPr/>
        <w:tc>
          <w:tcPr>
            <w:tcW w:w="2409"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Force Majeure</w:t>
            </w:r>
          </w:p>
        </w:tc>
        <w:tc>
          <w:tcPr>
            <w:tcW w:w="7311" w:type="dxa"/>
            <w:gridSpan w:val="2"/>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ind w:end="720"/>
              <w:jc w:val="both"/>
              <w:rPr/>
            </w:pPr>
            <w:r>
              <w:rPr/>
              <w:t>Force Majeure language shall meet all requirements set forth by GISB unless modified and agreed to by all Parties.</w:t>
            </w:r>
          </w:p>
          <w:p>
            <w:pPr>
              <w:pStyle w:val="Normal"/>
              <w:ind w:end="720"/>
              <w:jc w:val="both"/>
              <w:rPr/>
            </w:pPr>
            <w:r>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altName w:val="Bookman Old Style"/>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72" w:leader="none"/>
      </w:tabs>
      <w:ind w:hanging="802" w:start="72" w:end="270"/>
      <w:outlineLvl w:val="0"/>
    </w:pPr>
    <w:rPr>
      <w:b/>
    </w:rPr>
  </w:style>
  <w:style w:type="paragraph" w:styleId="Heading2">
    <w:name w:val="heading 2"/>
    <w:basedOn w:val="Normal"/>
    <w:next w:val="Normal"/>
    <w:qFormat/>
    <w:pPr>
      <w:keepNext w:val="true"/>
      <w:numPr>
        <w:ilvl w:val="1"/>
        <w:numId w:val="1"/>
      </w:numPr>
      <w:ind w:hanging="0" w:start="0" w:end="252"/>
      <w:outlineLvl w:val="1"/>
    </w:pPr>
    <w:rPr>
      <w:i/>
    </w:rPr>
  </w:style>
  <w:style w:type="paragraph" w:styleId="Heading3">
    <w:name w:val="heading 3"/>
    <w:basedOn w:val="Normal"/>
    <w:next w:val="Normal"/>
    <w:qFormat/>
    <w:pPr>
      <w:keepNext w:val="true"/>
      <w:numPr>
        <w:ilvl w:val="2"/>
        <w:numId w:val="1"/>
      </w:numPr>
      <w:ind w:hanging="0" w:start="0" w:end="72"/>
      <w:jc w:val="both"/>
      <w:outlineLvl w:val="2"/>
    </w:pPr>
    <w:rPr>
      <w:i/>
    </w:rPr>
  </w:style>
  <w:style w:type="paragraph" w:styleId="Heading4">
    <w:name w:val="heading 4"/>
    <w:basedOn w:val="Normal"/>
    <w:next w:val="Normal"/>
    <w:qFormat/>
    <w:pPr>
      <w:keepNext w:val="true"/>
      <w:numPr>
        <w:ilvl w:val="3"/>
        <w:numId w:val="1"/>
      </w:numPr>
      <w:ind w:hanging="0" w:start="0" w:end="720"/>
      <w:jc w:val="both"/>
      <w:outlineLvl w:val="3"/>
    </w:pPr>
    <w:rPr>
      <w:b/>
      <w:i/>
    </w:rPr>
  </w:style>
  <w:style w:type="paragraph" w:styleId="Heading5">
    <w:name w:val="heading 5"/>
    <w:basedOn w:val="Normal"/>
    <w:next w:val="Normal"/>
    <w:qFormat/>
    <w:pPr>
      <w:keepNext w:val="true"/>
      <w:numPr>
        <w:ilvl w:val="4"/>
        <w:numId w:val="1"/>
      </w:numPr>
      <w:tabs>
        <w:tab w:val="clear" w:pos="720"/>
        <w:tab w:val="center" w:pos="4560" w:leader="none"/>
      </w:tabs>
      <w:suppressAutoHyphens w:val="true"/>
      <w:spacing w:before="90" w:after="54"/>
      <w:ind w:hanging="0" w:start="0" w:end="720"/>
      <w:jc w:val="center"/>
      <w:outlineLvl w:val="4"/>
    </w:pPr>
    <w:rPr>
      <w:b/>
      <w:spacing w:val="-2"/>
    </w:rPr>
  </w:style>
  <w:style w:type="paragraph" w:styleId="Heading6">
    <w:name w:val="heading 6"/>
    <w:basedOn w:val="Normal"/>
    <w:next w:val="Normal"/>
    <w:qFormat/>
    <w:pPr>
      <w:keepNext w:val="true"/>
      <w:numPr>
        <w:ilvl w:val="5"/>
        <w:numId w:val="1"/>
      </w:numPr>
      <w:ind w:hanging="0" w:start="0" w:end="252"/>
      <w:jc w:val="both"/>
      <w:outlineLvl w:val="5"/>
    </w:pPr>
    <w:rPr>
      <w:i/>
    </w:rPr>
  </w:style>
  <w:style w:type="paragraph" w:styleId="Heading8">
    <w:name w:val="heading 8"/>
    <w:basedOn w:val="Normal"/>
    <w:next w:val="Normal"/>
    <w:qFormat/>
    <w:pPr>
      <w:keepNext w:val="true"/>
      <w:numPr>
        <w:ilvl w:val="7"/>
        <w:numId w:val="1"/>
      </w:numPr>
      <w:ind w:hanging="0" w:start="2880" w:end="0"/>
      <w:jc w:val="both"/>
      <w:outlineLvl w:val="7"/>
    </w:pPr>
    <w:rPr>
      <w:rFonts w:ascii="Century Schoolbook;Bookman Old Style" w:hAnsi="Century Schoolbook;Bookman Old Style" w:cs="Century Schoolbook;Bookman Old Style"/>
      <w:b/>
      <w:sz w:val="22"/>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sz w:val="32"/>
    </w:rPr>
  </w:style>
  <w:style w:type="paragraph" w:styleId="BodyText">
    <w:name w:val="Body Text"/>
    <w:basedOn w:val="Normal"/>
    <w:pPr>
      <w:tabs>
        <w:tab w:val="clear" w:pos="720"/>
        <w:tab w:val="left" w:pos="-720" w:leader="none"/>
      </w:tabs>
      <w:suppressAutoHyphens w:val="true"/>
      <w:jc w:val="both"/>
    </w:pPr>
    <w:rPr>
      <w:rFonts w:ascii="Century Schoolbook;Bookman Old Style" w:hAnsi="Century Schoolbook;Bookman Old Style" w:cs="Century Schoolbook;Bookman Old Style"/>
      <w:spacing w:val="-2"/>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Century Schoolbook;Bookman Old Style" w:hAnsi="Century Schoolbook;Bookman Old Style" w:cs="Century Schoolbook;Bookman Old Style"/>
      <w:sz w:val="22"/>
    </w:rPr>
  </w:style>
  <w:style w:type="paragraph" w:styleId="BodyText2">
    <w:name w:val="Body Text 2"/>
    <w:basedOn w:val="Normal"/>
    <w:qFormat/>
    <w:pPr>
      <w:tabs>
        <w:tab w:val="clear" w:pos="720"/>
        <w:tab w:val="left" w:pos="522" w:leader="none"/>
      </w:tabs>
      <w:ind w:hanging="0" w:start="0" w:end="1332"/>
      <w:jc w:val="both"/>
    </w:pPr>
    <w:rPr/>
  </w:style>
  <w:style w:type="paragraph" w:styleId="BodyText3">
    <w:name w:val="Body Text 3"/>
    <w:basedOn w:val="Normal"/>
    <w:qFormat/>
    <w:pPr>
      <w:ind w:hanging="0" w:start="0" w:end="720"/>
    </w:pPr>
    <w:rPr/>
  </w:style>
  <w:style w:type="paragraph" w:styleId="BlockText">
    <w:name w:val="Block Text"/>
    <w:basedOn w:val="Normal"/>
    <w:qFormat/>
    <w:pPr>
      <w:ind w:hanging="0" w:start="-18" w:end="720"/>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2001-01-24T16:53:00Z</dcterms:created>
  <dc:creator>TPC</dc:creator>
  <dc:description/>
  <dc:language>en-CA</dc:language>
  <cp:lastModifiedBy>Sanjeev K Khanna</cp:lastModifiedBy>
  <cp:lastPrinted>2001-01-24T13:22:00Z</cp:lastPrinted>
  <dcterms:modified xsi:type="dcterms:W3CDTF">2001-01-24T16:53:00Z</dcterms:modified>
  <cp:revision>2</cp:revision>
  <dc:subject/>
  <dc:title> OPTION I</dc:title>
</cp:coreProperties>
</file>