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504"/>
        <w:jc w:val="end"/>
        <w:rPr/>
      </w:pPr>
      <w:r>
        <w:rPr/>
        <w:t>Exhibit No. 12</w:t>
      </w:r>
    </w:p>
    <w:p>
      <w:pPr>
        <w:pStyle w:val="Normal"/>
        <w:ind w:end="504"/>
        <w:jc w:val="center"/>
        <w:rPr/>
      </w:pPr>
      <w:r>
        <w:rPr/>
      </w:r>
    </w:p>
    <w:p>
      <w:pPr>
        <w:pStyle w:val="Normal"/>
        <w:ind w:end="504"/>
        <w:jc w:val="center"/>
        <w:rPr/>
      </w:pPr>
      <w:r>
        <w:rPr/>
      </w:r>
    </w:p>
    <w:p>
      <w:pPr>
        <w:pStyle w:val="Normal"/>
        <w:ind w:end="504"/>
        <w:jc w:val="center"/>
        <w:rPr/>
      </w:pPr>
      <w:r>
        <w:rPr/>
      </w:r>
    </w:p>
    <w:p>
      <w:pPr>
        <w:pStyle w:val="Normal"/>
        <w:ind w:end="504"/>
        <w:jc w:val="center"/>
        <w:rPr>
          <w:sz w:val="24"/>
        </w:rPr>
      </w:pPr>
      <w:r>
        <w:rPr>
          <w:sz w:val="24"/>
        </w:rPr>
      </w:r>
    </w:p>
    <w:p>
      <w:pPr>
        <w:pStyle w:val="Normal"/>
        <w:ind w:end="504"/>
        <w:jc w:val="center"/>
        <w:rPr>
          <w:sz w:val="24"/>
        </w:rPr>
      </w:pPr>
      <w:r>
        <w:rPr>
          <w:sz w:val="24"/>
        </w:rPr>
        <w:t>BEFORE THE</w:t>
      </w:r>
    </w:p>
    <w:p>
      <w:pPr>
        <w:pStyle w:val="Normal"/>
        <w:ind w:end="504"/>
        <w:jc w:val="center"/>
        <w:rPr>
          <w:sz w:val="24"/>
        </w:rPr>
      </w:pPr>
      <w:r>
        <w:rPr>
          <w:sz w:val="24"/>
        </w:rPr>
        <w:t>PUBLIC UTILITIES COMMISSION</w:t>
      </w:r>
    </w:p>
    <w:p>
      <w:pPr>
        <w:pStyle w:val="Normal"/>
        <w:ind w:end="504"/>
        <w:jc w:val="center"/>
        <w:rPr>
          <w:sz w:val="24"/>
        </w:rPr>
      </w:pPr>
      <w:r>
        <w:rPr>
          <w:sz w:val="24"/>
        </w:rPr>
        <w:t>OF THE</w:t>
      </w:r>
    </w:p>
    <w:p>
      <w:pPr>
        <w:pStyle w:val="Normal"/>
        <w:ind w:end="504"/>
        <w:jc w:val="center"/>
        <w:rPr>
          <w:sz w:val="24"/>
        </w:rPr>
      </w:pPr>
      <w:r>
        <w:rPr>
          <w:sz w:val="24"/>
        </w:rPr>
        <w:t>STATE OF CALIFORNIA</w:t>
      </w:r>
    </w:p>
    <w:p>
      <w:pPr>
        <w:pStyle w:val="Normal"/>
        <w:ind w:end="504"/>
        <w:jc w:val="center"/>
        <w:rPr>
          <w:sz w:val="24"/>
        </w:rPr>
      </w:pPr>
      <w:r>
        <w:rPr>
          <w:sz w:val="24"/>
        </w:rPr>
      </w:r>
    </w:p>
    <w:p>
      <w:pPr>
        <w:pStyle w:val="Normal"/>
        <w:ind w:end="504"/>
        <w:jc w:val="center"/>
        <w:rPr>
          <w:sz w:val="24"/>
        </w:rPr>
      </w:pPr>
      <w:r>
        <w:rPr>
          <w:sz w:val="24"/>
        </w:rPr>
      </w:r>
    </w:p>
    <w:p>
      <w:pPr>
        <w:pStyle w:val="Normal"/>
        <w:ind w:end="504"/>
        <w:jc w:val="center"/>
        <w:rPr>
          <w:sz w:val="24"/>
        </w:rPr>
      </w:pPr>
      <w:r>
        <w:rPr>
          <w:sz w:val="24"/>
        </w:rPr>
      </w:r>
    </w:p>
    <w:p>
      <w:pPr>
        <w:pStyle w:val="Normal"/>
        <w:ind w:end="504"/>
        <w:rPr>
          <w:sz w:val="24"/>
        </w:rPr>
      </w:pPr>
      <w:r>
        <w:rPr>
          <w:sz w:val="24"/>
        </w:rPr>
        <w:t>Investigation on the Commission’s Own</w:t>
        <w:tab/>
        <w:tab/>
        <w:t>)</w:t>
      </w:r>
    </w:p>
    <w:p>
      <w:pPr>
        <w:pStyle w:val="Normal"/>
        <w:ind w:end="504"/>
        <w:rPr>
          <w:sz w:val="24"/>
        </w:rPr>
      </w:pPr>
      <w:r>
        <w:rPr>
          <w:sz w:val="24"/>
        </w:rPr>
        <w:t xml:space="preserve">Motion To Consider the Costs and </w:t>
        <w:tab/>
        <w:tab/>
        <w:tab/>
        <w:t>)</w:t>
      </w:r>
    </w:p>
    <w:p>
      <w:pPr>
        <w:pStyle w:val="Normal"/>
        <w:ind w:end="504"/>
        <w:rPr>
          <w:sz w:val="24"/>
        </w:rPr>
      </w:pPr>
      <w:r>
        <w:rPr>
          <w:sz w:val="24"/>
        </w:rPr>
        <w:t>Benefits of Various Promising Revisions</w:t>
        <w:tab/>
        <w:tab/>
        <w:t>)</w:t>
      </w:r>
    </w:p>
    <w:p>
      <w:pPr>
        <w:pStyle w:val="Normal"/>
        <w:ind w:end="504"/>
        <w:rPr>
          <w:sz w:val="24"/>
        </w:rPr>
      </w:pPr>
      <w:r>
        <w:rPr>
          <w:sz w:val="24"/>
        </w:rPr>
        <w:t>to the Regulatory and Market Structure</w:t>
        <w:tab/>
        <w:tab/>
        <w:t>)  I.99-07-003</w:t>
      </w:r>
    </w:p>
    <w:p>
      <w:pPr>
        <w:pStyle w:val="Normal"/>
        <w:ind w:end="504"/>
        <w:rPr>
          <w:sz w:val="24"/>
        </w:rPr>
      </w:pPr>
      <w:r>
        <w:rPr>
          <w:sz w:val="24"/>
        </w:rPr>
        <w:t>Governing California’s Natural Gas Industry</w:t>
        <w:tab/>
        <w:tab/>
        <w:t>)</w:t>
      </w:r>
    </w:p>
    <w:p>
      <w:pPr>
        <w:pStyle w:val="Normal"/>
        <w:ind w:end="504"/>
        <w:rPr>
          <w:sz w:val="24"/>
        </w:rPr>
      </w:pPr>
      <w:r>
        <w:rPr>
          <w:sz w:val="24"/>
        </w:rPr>
        <w:t>and to Report to the California Legislature</w:t>
        <w:tab/>
        <w:tab/>
        <w:t>)</w:t>
      </w:r>
    </w:p>
    <w:p>
      <w:pPr>
        <w:pStyle w:val="Normal"/>
        <w:ind w:end="504"/>
        <w:rPr>
          <w:sz w:val="24"/>
        </w:rPr>
      </w:pPr>
      <w:r>
        <w:rPr>
          <w:sz w:val="24"/>
        </w:rPr>
        <w:t>On the Commission’s Findings</w:t>
        <w:tab/>
        <w:tab/>
        <w:tab/>
        <w:t>)</w:t>
      </w:r>
    </w:p>
    <w:p>
      <w:pPr>
        <w:pStyle w:val="Normal"/>
        <w:ind w:end="504"/>
        <w:rPr>
          <w:sz w:val="24"/>
        </w:rPr>
      </w:pPr>
      <w:r>
        <w:rPr>
          <w:sz w:val="24"/>
        </w:rPr>
        <w:t>__________________________________________)</w:t>
      </w:r>
    </w:p>
    <w:p>
      <w:pPr>
        <w:pStyle w:val="Normal"/>
        <w:ind w:end="504"/>
        <w:jc w:val="center"/>
        <w:rPr>
          <w:sz w:val="24"/>
        </w:rPr>
      </w:pPr>
      <w:r>
        <w:rPr>
          <w:sz w:val="24"/>
        </w:rPr>
      </w:r>
    </w:p>
    <w:p>
      <w:pPr>
        <w:pStyle w:val="Normal"/>
        <w:ind w:end="504"/>
        <w:jc w:val="center"/>
        <w:rPr>
          <w:sz w:val="24"/>
        </w:rPr>
      </w:pPr>
      <w:r>
        <w:rPr>
          <w:sz w:val="24"/>
        </w:rPr>
      </w:r>
    </w:p>
    <w:p>
      <w:pPr>
        <w:pStyle w:val="Normal"/>
        <w:ind w:end="504"/>
        <w:jc w:val="center"/>
        <w:rPr>
          <w:b/>
          <w:caps/>
          <w:sz w:val="24"/>
        </w:rPr>
      </w:pPr>
      <w:r>
        <w:rPr>
          <w:b/>
          <w:caps/>
          <w:sz w:val="24"/>
        </w:rPr>
      </w:r>
    </w:p>
    <w:p>
      <w:pPr>
        <w:pStyle w:val="Normal"/>
        <w:ind w:end="504"/>
        <w:jc w:val="center"/>
        <w:rPr>
          <w:b/>
          <w:caps/>
          <w:sz w:val="24"/>
        </w:rPr>
      </w:pPr>
      <w:r>
        <w:rPr>
          <w:b/>
          <w:caps/>
          <w:sz w:val="24"/>
        </w:rPr>
      </w:r>
    </w:p>
    <w:p>
      <w:pPr>
        <w:pStyle w:val="Normal"/>
        <w:ind w:end="504"/>
        <w:jc w:val="center"/>
        <w:rPr>
          <w:b/>
          <w:caps/>
          <w:sz w:val="24"/>
        </w:rPr>
      </w:pPr>
      <w:r>
        <w:rPr>
          <w:b/>
          <w:caps/>
          <w:sz w:val="24"/>
        </w:rPr>
        <w:t>Prepared Direct Testimony of Jeffery C. Fawcett</w:t>
      </w:r>
    </w:p>
    <w:p>
      <w:pPr>
        <w:pStyle w:val="Normal"/>
        <w:ind w:end="504"/>
        <w:jc w:val="center"/>
        <w:rPr>
          <w:b/>
          <w:caps/>
          <w:sz w:val="24"/>
        </w:rPr>
      </w:pPr>
      <w:r>
        <w:rPr>
          <w:b/>
          <w:caps/>
          <w:sz w:val="24"/>
        </w:rPr>
        <w:t>for transwestern pipeline company</w:t>
      </w:r>
    </w:p>
    <w:p>
      <w:pPr>
        <w:pStyle w:val="Normal"/>
        <w:ind w:end="504"/>
        <w:jc w:val="center"/>
        <w:rPr>
          <w:b/>
          <w:caps/>
          <w:sz w:val="24"/>
        </w:rPr>
      </w:pPr>
      <w:r>
        <w:rPr>
          <w:b/>
          <w:caps/>
          <w:sz w:val="24"/>
        </w:rPr>
        <w:t xml:space="preserve">in Support of the </w:t>
      </w:r>
    </w:p>
    <w:p>
      <w:pPr>
        <w:pStyle w:val="Normal"/>
        <w:ind w:end="504"/>
        <w:jc w:val="center"/>
        <w:rPr>
          <w:b/>
          <w:caps/>
          <w:sz w:val="24"/>
        </w:rPr>
      </w:pPr>
      <w:r>
        <w:rPr>
          <w:b/>
          <w:caps/>
          <w:sz w:val="24"/>
        </w:rPr>
        <w:t>Comprehensive Settlement Agreement</w:t>
      </w:r>
    </w:p>
    <w:p>
      <w:pPr>
        <w:pStyle w:val="Normal"/>
        <w:jc w:val="both"/>
        <w:rPr>
          <w:b/>
          <w:caps/>
          <w:sz w:val="24"/>
        </w:rPr>
      </w:pPr>
      <w:r>
        <w:rPr>
          <w:b/>
          <w:caps/>
          <w:sz w:val="24"/>
        </w:rPr>
      </w:r>
    </w:p>
    <w:p>
      <w:pPr>
        <w:pStyle w:val="Normal"/>
        <w:jc w:val="both"/>
        <w:rPr>
          <w:sz w:val="24"/>
        </w:rPr>
      </w:pPr>
      <w:r>
        <w:rPr>
          <w:sz w:val="24"/>
        </w:rPr>
      </w:r>
    </w:p>
    <w:p>
      <w:pPr>
        <w:pStyle w:val="Normal"/>
        <w:jc w:val="both"/>
        <w:rPr>
          <w:sz w:val="24"/>
        </w:rPr>
      </w:pPr>
      <w:r>
        <w:rPr>
          <w:sz w:val="24"/>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FirmName"/>
        <w:spacing w:lineRule="exact" w:line="454"/>
        <w:rPr>
          <w:rFonts w:ascii="Times New Roman" w:hAnsi="Times New Roman" w:cs="Times New Roman"/>
          <w:b/>
        </w:rPr>
      </w:pPr>
      <w:r>
        <w:rPr>
          <w:rFonts w:cs="Times New Roman" w:ascii="Times New Roman" w:hAnsi="Times New Roman"/>
          <w:b/>
        </w:rPr>
        <w:t>May 5, 2000</w:t>
      </w:r>
    </w:p>
    <w:p>
      <w:pPr>
        <w:pStyle w:val="Normal"/>
        <w:jc w:val="both"/>
        <w:rPr>
          <w:rFonts w:ascii="Times New Roman" w:hAnsi="Times New Roman" w:cs="Times New Roman"/>
          <w:b/>
        </w:rPr>
      </w:pPr>
      <w:r>
        <w:rPr>
          <w:rFonts w:cs="Times New Roman"/>
          <w:b/>
        </w:rPr>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lnNumType w:countBy="1" w:restart="newPage" w:distance="283"/>
          <w:pgNumType w:fmt="decimal"/>
          <w:formProt w:val="false"/>
          <w:titlePg/>
          <w:textDirection w:val="lrTb"/>
          <w:docGrid w:type="default" w:linePitch="360" w:charSpace="0"/>
        </w:sectPr>
        <w:pStyle w:val="Normal"/>
        <w:jc w:val="center"/>
        <w:rPr>
          <w:rFonts w:ascii="Book Antiqua;Times New Roman" w:hAnsi="Book Antiqua;Times New Roman" w:cs="Book Antiqua;Times New Roman"/>
          <w:b/>
          <w:sz w:val="24"/>
        </w:rPr>
      </w:pPr>
      <w:r>
        <w:rPr>
          <w:rFonts w:cs="Book Antiqua;Times New Roman" w:ascii="Book Antiqua;Times New Roman" w:hAnsi="Book Antiqua;Times New Roman"/>
          <w:b/>
          <w:sz w:val="24"/>
        </w:rPr>
      </w:r>
    </w:p>
    <w:p>
      <w:pPr>
        <w:pStyle w:val="Normal"/>
        <w:rPr>
          <w:rFonts w:ascii="Book Antiqua;Times New Roman" w:hAnsi="Book Antiqua;Times New Roman" w:cs="Book Antiqua;Times New Roman"/>
          <w:b/>
          <w:sz w:val="24"/>
        </w:rPr>
      </w:pPr>
      <w:r>
        <w:rPr>
          <w:rFonts w:cs="Book Antiqua;Times New Roman" w:ascii="Book Antiqua;Times New Roman" w:hAnsi="Book Antiqua;Times New Roman"/>
          <w:b/>
          <w:sz w:val="24"/>
        </w:rPr>
      </w:r>
    </w:p>
    <w:p>
      <w:pPr>
        <w:pStyle w:val="Heading"/>
        <w:rPr>
          <w:b/>
        </w:rPr>
      </w:pPr>
      <w:r>
        <w:rPr>
          <w:b/>
        </w:rPr>
        <w:t>PREPARED DIRECT TESTIMONY OF JEFFERY C. FAWCETT</w:t>
      </w:r>
    </w:p>
    <w:p>
      <w:pPr>
        <w:pStyle w:val="Normal"/>
        <w:spacing w:lineRule="auto" w:line="360"/>
        <w:jc w:val="center"/>
        <w:rPr>
          <w:b/>
          <w:sz w:val="24"/>
        </w:rPr>
      </w:pPr>
      <w:r>
        <w:rPr>
          <w:b/>
          <w:sz w:val="24"/>
        </w:rPr>
        <w:t>ON BEHALF OF TRANSWESTERN PIPELINE COMPANY</w:t>
      </w:r>
    </w:p>
    <w:p>
      <w:pPr>
        <w:pStyle w:val="Normal"/>
        <w:spacing w:lineRule="auto" w:line="360"/>
        <w:jc w:val="center"/>
        <w:rPr>
          <w:b/>
          <w:sz w:val="24"/>
        </w:rPr>
      </w:pPr>
      <w:r>
        <w:rPr>
          <w:b/>
          <w:sz w:val="24"/>
        </w:rPr>
        <w:t>IN SUPPORT OF THE COMPREHENSIVE SETTLEMENT AGREEMENT</w:t>
      </w:r>
    </w:p>
    <w:p>
      <w:pPr>
        <w:pStyle w:val="Normal"/>
        <w:spacing w:lineRule="auto" w:line="360"/>
        <w:jc w:val="center"/>
        <w:rPr>
          <w:b/>
          <w:sz w:val="24"/>
        </w:rPr>
      </w:pPr>
      <w:r>
        <w:rPr>
          <w:b/>
          <w:sz w:val="24"/>
        </w:rPr>
        <w:t>IN I.99-07-003</w:t>
      </w:r>
    </w:p>
    <w:p>
      <w:pPr>
        <w:pStyle w:val="Normal"/>
        <w:spacing w:lineRule="auto" w:line="360"/>
        <w:jc w:val="center"/>
        <w:rPr>
          <w:b/>
          <w:sz w:val="24"/>
        </w:rPr>
      </w:pPr>
      <w:r>
        <w:rPr>
          <w:b/>
          <w:sz w:val="24"/>
        </w:rPr>
      </w:r>
    </w:p>
    <w:p>
      <w:pPr>
        <w:pStyle w:val="BodyText2"/>
        <w:tabs>
          <w:tab w:val="clear" w:pos="720"/>
          <w:tab w:val="left" w:pos="-270" w:leader="none"/>
        </w:tabs>
        <w:spacing w:lineRule="auto" w:line="360"/>
        <w:ind w:hanging="0" w:start="0" w:end="0"/>
        <w:rPr>
          <w:b/>
        </w:rPr>
      </w:pPr>
      <w:r>
        <w:rPr>
          <w:b/>
        </w:rPr>
        <w:t>I.  Introduction</w:t>
      </w:r>
    </w:p>
    <w:p>
      <w:pPr>
        <w:pStyle w:val="BodyText2"/>
        <w:tabs>
          <w:tab w:val="clear" w:pos="720"/>
          <w:tab w:val="left" w:pos="360" w:leader="none"/>
        </w:tabs>
        <w:spacing w:lineRule="auto" w:line="360"/>
        <w:ind w:hanging="0" w:start="0" w:end="0"/>
        <w:rPr>
          <w:b/>
        </w:rPr>
      </w:pPr>
      <w:r>
        <w:rPr>
          <w:b/>
        </w:rPr>
        <w:tab/>
        <w:t>A. Qualifications</w:t>
      </w:r>
    </w:p>
    <w:p>
      <w:pPr>
        <w:pStyle w:val="BodyText2"/>
        <w:tabs>
          <w:tab w:val="clear" w:pos="720"/>
          <w:tab w:val="left" w:pos="-270" w:leader="none"/>
        </w:tabs>
        <w:spacing w:lineRule="auto" w:line="360"/>
        <w:ind w:hanging="0" w:start="0" w:end="0"/>
        <w:jc w:val="both"/>
        <w:rPr/>
      </w:pPr>
      <w:r>
        <w:rPr/>
        <w:tab/>
        <w:t>My name is Jeffery C. Fawcett.  My business address is Transwestern Pipeline Company, 1400 Smith Street, Houston, Texas, 77002.  I am an Account Executive in the Transwestern Commercial Group.  Since joining Transwestern in 1997, I have worked as the senior commercial representative responsible for long-term strategic planning and placement of Transwestern's interstate pipeline capacity.  I also evaluate new business opportunities for Transwestern in the form of acquisitions and new asset additions and advise management regarding regulatory policy decisions for proceedings affecting Transwestern at the FERC and in California.</w:t>
      </w:r>
    </w:p>
    <w:p>
      <w:pPr>
        <w:pStyle w:val="BodyText2"/>
        <w:spacing w:lineRule="auto" w:line="360"/>
        <w:ind w:hanging="0" w:start="0" w:end="0"/>
        <w:jc w:val="both"/>
        <w:rPr/>
      </w:pPr>
      <w:r>
        <w:rPr/>
        <w:tab/>
        <w:t>I have 15 years experience in the natural gas pipeline and commodity sales business working primarily in the California marketplace.  Prior to joining Transwestern, I helped El Paso Energy launch its commodity marketing business and subsequently moved to Houston to assist the company's merger and consolidation with Eastex Energy and Tenneco.  I have also worked as Manager of Marketing Services for Mojave Pipeline Company.  In this capacity, I concluded contract negotiations with the original compliment of Mojave shippers.  In addition to my commercial responsibilities, I helped author Mojave's FERC Gas Tariff and wrote many of the joint operating policies and procedures with Kern River Gas Transmission, Mojave's common facility partner in California.  I also represented Mojave during negotiations that led to the interconnection of Mojave/Kern River to the facilities of SoCalGas at Wheeler Ridge.  Prior to Mojave, I was a senior negotiator for El Paso Natural Gas during the FERC "take-or-pay" negotiations.</w:t>
      </w:r>
    </w:p>
    <w:p>
      <w:pPr>
        <w:pStyle w:val="BodyText2"/>
        <w:spacing w:lineRule="auto" w:line="360"/>
        <w:ind w:hanging="0" w:start="0" w:end="0"/>
        <w:jc w:val="both"/>
        <w:rPr/>
      </w:pPr>
      <w:r>
        <w:rPr/>
        <w:tab/>
        <w:t>I received a Bachelor of Business Administration from the University of Texas at Austin and a Masters of Business Administration from Southwest Texas State University.</w:t>
      </w:r>
    </w:p>
    <w:p>
      <w:pPr>
        <w:pStyle w:val="BodyTextIndent"/>
        <w:keepNext w:val="true"/>
        <w:tabs>
          <w:tab w:val="clear" w:pos="720"/>
          <w:tab w:val="left" w:pos="360" w:leader="none"/>
        </w:tabs>
        <w:spacing w:lineRule="auto" w:line="360"/>
        <w:ind w:hanging="0" w:start="0" w:end="0"/>
        <w:jc w:val="both"/>
        <w:rPr>
          <w:b/>
          <w:sz w:val="24"/>
        </w:rPr>
      </w:pPr>
      <w:r>
        <w:rPr>
          <w:b/>
          <w:sz w:val="24"/>
        </w:rPr>
        <w:tab/>
        <w:t>B.  Purpose of Testimony</w:t>
      </w:r>
    </w:p>
    <w:p>
      <w:pPr>
        <w:pStyle w:val="BodyTextIndent"/>
        <w:spacing w:lineRule="auto" w:line="360"/>
        <w:ind w:hanging="0" w:start="0" w:end="0"/>
        <w:jc w:val="both"/>
        <w:rPr>
          <w:sz w:val="24"/>
        </w:rPr>
      </w:pPr>
      <w:r>
        <w:rPr>
          <w:sz w:val="24"/>
        </w:rPr>
        <w:tab/>
        <w:t>The purpose of this testimony is to describe how the Comprehensive Gas OII Settlement Agreement (the "Comprehensive Settlement") filed by Southern California Gas Company ("SoCalGas") on April 17, 2000 1) defines receipt point capacities and rights on SoCalGas' system and 2) establishes Hector Road as a formal receipt point on SoCalGas' system.</w:t>
      </w:r>
    </w:p>
    <w:p>
      <w:pPr>
        <w:pStyle w:val="BodyTextIndent2"/>
        <w:spacing w:lineRule="auto" w:line="360"/>
        <w:ind w:hanging="0" w:start="0" w:end="0"/>
        <w:rPr/>
      </w:pPr>
      <w:r>
        <w:rPr>
          <w:sz w:val="24"/>
        </w:rPr>
        <w:tab/>
        <w:t>In D.99-07-015, the Commission stated that the creation of firm tradable intrastate transmission rights for SoCalGas offers the hope of improving efficiency and fostering increased competition, as well as providing individual shippers with greater certainty as to their ability to move quantities of gas through the pipeline system.</w:t>
      </w:r>
      <w:r>
        <w:rPr>
          <w:rStyle w:val="FootnoteCharacters"/>
          <w:rStyle w:val="FootnoteReference"/>
          <w:sz w:val="24"/>
        </w:rPr>
        <w:footnoteReference w:id="2"/>
      </w:r>
      <w:r>
        <w:rPr>
          <w:sz w:val="24"/>
        </w:rPr>
        <w:t xml:space="preserve">  Additionally, the Commission stated its expectation that Hector Road would be a formal receipt point in a SoCalGas firm, intrastate transmission rights system.</w:t>
      </w:r>
      <w:r>
        <w:rPr>
          <w:rStyle w:val="FootnoteCharacters"/>
          <w:rStyle w:val="FootnoteReference"/>
          <w:sz w:val="24"/>
        </w:rPr>
        <w:footnoteReference w:id="3"/>
      </w:r>
      <w:r>
        <w:rPr>
          <w:sz w:val="24"/>
        </w:rPr>
        <w:t xml:space="preserve">  In response to these concerns, the parties to the Comprehensive Settlement have agreed to establish a system of firm, tradable intrastate rights effective October 1, 2001.</w:t>
      </w:r>
      <w:r>
        <w:rPr>
          <w:rStyle w:val="FootnoteCharacters"/>
          <w:rStyle w:val="FootnoteReference"/>
          <w:sz w:val="24"/>
        </w:rPr>
        <w:footnoteReference w:id="4"/>
      </w:r>
      <w:r>
        <w:rPr>
          <w:sz w:val="24"/>
        </w:rPr>
        <w:t xml:space="preserve">  In this testimony, I will describe how the parties have proposed to define receipt point capacities and rights on SoCalGas' unbundled transmission system, including access through Hector Road as a formal receipt point.</w:t>
      </w:r>
    </w:p>
    <w:p>
      <w:pPr>
        <w:pStyle w:val="Normal"/>
        <w:spacing w:lineRule="auto" w:line="360"/>
        <w:jc w:val="both"/>
        <w:rPr/>
      </w:pPr>
      <w:r>
        <w:rPr>
          <w:sz w:val="24"/>
        </w:rPr>
        <w:tab/>
        <w:t>Although Transwestern is an interstate pipeline not regulated by the California Public Utilities Commission, it has an interest in this proceeding as it affects downstream pipelines that interconnect with Transwestern.  In particular, Transwestern is interested in the issue of access to SoCalGas through receipt points on the SoCalGas system.  In D.99-07-015, the Commission found that the existing operation of SoCalGas's interconnect with Mojave Pipeline at Hector Road "has resulted in lost opportunities for bringing relatively inexpensive gas into Southern California,"</w:t>
      </w:r>
      <w:r>
        <w:rPr>
          <w:rStyle w:val="FootnoteCharacters"/>
          <w:rStyle w:val="FootnoteReference"/>
          <w:sz w:val="24"/>
        </w:rPr>
        <w:footnoteReference w:id="5"/>
      </w:r>
      <w:r>
        <w:rPr>
          <w:sz w:val="24"/>
        </w:rPr>
        <w:t xml:space="preserve"> and that "[i]t is unlikely that the market will accurately reflect the value of transmission resources if SoCalGas were to define its marketable transmission access in a way that did not include the Hector Road facilities."</w:t>
      </w:r>
      <w:r>
        <w:rPr>
          <w:rStyle w:val="FootnoteCharacters"/>
          <w:rStyle w:val="FootnoteReference"/>
          <w:sz w:val="24"/>
        </w:rPr>
        <w:footnoteReference w:id="6"/>
      </w:r>
      <w:r>
        <w:rPr>
          <w:sz w:val="24"/>
        </w:rPr>
        <w:t xml:space="preserve">  The potential for this proceeding to result in changes in the operation of the SoCalGas system and the addition of the Hector Road point led to Transwestern's participation in the proceeding. </w:t>
      </w:r>
    </w:p>
    <w:p>
      <w:pPr>
        <w:pStyle w:val="BodyTextIndent"/>
        <w:tabs>
          <w:tab w:val="left" w:pos="720" w:leader="none"/>
        </w:tabs>
        <w:spacing w:lineRule="auto" w:line="360"/>
        <w:ind w:hanging="0" w:start="0" w:end="0"/>
        <w:jc w:val="both"/>
        <w:rPr>
          <w:sz w:val="24"/>
        </w:rPr>
      </w:pPr>
      <w:r>
        <w:rPr>
          <w:sz w:val="24"/>
        </w:rPr>
        <w:tab/>
        <w:t>The Hector Road facility connects Mojave Pipeline to SoCalGas Line 235.  Line 235 interconnects with Transwestern at North Needles.  A change in the operation of the Hector Road point had the potential to impede Transwestern's ability to deliver gas at North Needles and to affect Transwestern's ability to provide transportation service on the Transwestern system.  To meet the Commission's goal of supply access at Hector Road and to maintain Transwestern's ability to deliver interstate gas at North Needles, a balanced, carefully thought-out methodology of receipt point access and allocation is required.  This methodology is described below.</w:t>
      </w:r>
    </w:p>
    <w:p>
      <w:pPr>
        <w:pStyle w:val="BodyTextIndent"/>
        <w:tabs>
          <w:tab w:val="left" w:pos="720" w:leader="none"/>
        </w:tabs>
        <w:spacing w:lineRule="auto" w:line="360"/>
        <w:ind w:hanging="0" w:start="0" w:end="0"/>
        <w:jc w:val="both"/>
        <w:rPr>
          <w:b/>
          <w:sz w:val="24"/>
        </w:rPr>
      </w:pPr>
      <w:r>
        <w:rPr>
          <w:b/>
          <w:sz w:val="24"/>
        </w:rPr>
        <w:t>II.  Receipt Point Access Under the Comprehensive Settlement</w:t>
      </w:r>
    </w:p>
    <w:p>
      <w:pPr>
        <w:pStyle w:val="BodyTextIndent"/>
        <w:tabs>
          <w:tab w:val="left" w:pos="720" w:leader="none"/>
        </w:tabs>
        <w:spacing w:lineRule="auto" w:line="360"/>
        <w:ind w:hanging="0" w:start="0" w:end="0"/>
        <w:jc w:val="both"/>
        <w:rPr>
          <w:sz w:val="24"/>
        </w:rPr>
      </w:pPr>
      <w:r>
        <w:rPr>
          <w:sz w:val="24"/>
        </w:rPr>
        <w:tab/>
        <w:t xml:space="preserve">The Comprehensive Settlement offers a principled solution that addresses access to all receipt points on SoCalGas as well as access to Hector Road.  In developing a proposal for an equitable system of receipt point access and allocation, Transwestern understood that the interrelationship between all the receipt points on SoCalGas's system demanded a comprehensive remedy, one that addressed the problem of access to Hector Road without harming interstate pipelines, shippers or SoCalGas.  Transwestern's proposal, which is embodied in the Comprehensive Settlement at page 11 and Appendix B, provides a broad framework for addressing the problem of access to all SoCalGas receipt points. </w:t>
      </w:r>
    </w:p>
    <w:p>
      <w:pPr>
        <w:pStyle w:val="BodyText"/>
        <w:rPr/>
      </w:pPr>
      <w:r>
        <w:rPr/>
        <w:tab/>
        <w:t xml:space="preserve">The receipt point access plan in the Comprehensive Settlement works by applying general principles used in the interstate context.  When considering the complex problem of sorting out the receipt point issues on the SoCalGas system, Transwestern looked to the operation of interstate pipelines under open access rules for guidance.  In the interstate context, pipelines specifically define shippers' rights to capacity on the pipeline system.  Shippers regard these capacity rights as a tangible asset.  Shippers holding firm capacity on the pipeline system are given a priority not only on the mainline, but also with respect to receipt point and delivery point capacity.  The certainty of point capacity allows shippers to make favorable commercial arrangements for the delivery of natural gas to and through the Transwestern system.  The sanctity of shippers' rights to point capacity has also given rise to another favorable outcome: when capacity is available, shippers may flex over to the designated secondary points, thereby rationalizing the pipeline system and maximizing shippers' investment in capacity.  </w:t>
      </w:r>
    </w:p>
    <w:p>
      <w:pPr>
        <w:pStyle w:val="BodyTextIndent2"/>
        <w:spacing w:lineRule="auto" w:line="360"/>
        <w:ind w:hanging="0" w:start="0" w:end="0"/>
        <w:rPr>
          <w:sz w:val="24"/>
        </w:rPr>
      </w:pPr>
      <w:r>
        <w:rPr>
          <w:sz w:val="24"/>
        </w:rPr>
        <w:tab/>
        <w:t xml:space="preserve">In a similar fashion, the Comprehensive Settlement defines unbundled backbone transmission rights with respect to the receipt point at which gas is received into the SoCalGas system.  Rights are defined based on seven receipt points:  Blythe (Ehrenburg), Topock, North Needles, Hector Road, Wheeler Ridge, Line 85 and North Coastal.  When there is more than one pipeline or other source that might deliver gas to the SoCalGas backbone system or at a particular receipt point, the receipt point rights are defined in terms of primary and secondary access by upstream source.  The relative scheduling priority of firm rights by primary and secondary upstream source and interruptible transportation are summarized on Exhibit JCF-1 (which is identical to Appendix B of the Comprehensive Settlement).  </w:t>
      </w:r>
    </w:p>
    <w:p>
      <w:pPr>
        <w:pStyle w:val="BodyTextIndent2"/>
        <w:spacing w:lineRule="auto" w:line="360"/>
        <w:ind w:hanging="0" w:start="0" w:end="0"/>
        <w:rPr>
          <w:b/>
          <w:sz w:val="24"/>
        </w:rPr>
      </w:pPr>
      <w:r>
        <w:rPr>
          <w:sz w:val="24"/>
        </w:rPr>
        <w:tab/>
        <w:t>SoCalGas is obligated for the term of the Settlement Agreement to use all reasonable efforts to maintain the availability of the amount of firm backbone capacity at each of the receipt points shown above.</w:t>
      </w:r>
    </w:p>
    <w:p>
      <w:pPr>
        <w:pStyle w:val="BodyText3"/>
        <w:jc w:val="both"/>
        <w:rPr/>
      </w:pPr>
      <w:r>
        <w:rPr/>
        <w:tab/>
        <w:t xml:space="preserve">The Comprehensive Settlement also addresses the Hector Road issue prior to full intrastate unbundling. </w:t>
      </w:r>
      <w:r>
        <w:rPr>
          <w:b/>
        </w:rPr>
        <w:t xml:space="preserve"> </w:t>
      </w:r>
      <w:r>
        <w:rPr/>
        <w:t xml:space="preserve">From the effective date of the Settlement through September 30, 2001, SoCalGas will establish Hector Road as a formal receipt point on its backbone transmission system where customers can nominate volumes for transportation.  The total capacity available at Hector Road will be subject to daily adjustments based on operating conditions, but such capacity will be at least 50 MMcf/d as long as there are nominations by customers of at least 50 MMcf/d and Mojave Pipeline can physically deliver the nominated quantity.  Nominations at Hector Road may exceed 50 MMcf/d, but would be secondary to nominations on SoCalGas' system for deliveries from Transwestern at the North Needles receipt point.  SoCalGas will not set the maximum daily receipt point capacity at North Needles at less than 750 MMcf/d unless operating conditions unrelated to the Hector Road receipt point require such action. </w:t>
      </w:r>
    </w:p>
    <w:p>
      <w:pPr>
        <w:pStyle w:val="BodyText3"/>
        <w:jc w:val="both"/>
        <w:rPr/>
      </w:pPr>
      <w:r>
        <w:rPr/>
        <w:tab/>
        <w:t>The Comprehensive Settlement does not address the conditions, if any, under which SoCalGas would be obligated to expand its backbone capacity or the treatment (with regard to rates, allocation of capacity, or otherwise) of any increase in backbone capacity by SoCalGas.  The parties have left these issues for the Commission to resolve if and when it chooses to do so.</w:t>
      </w:r>
    </w:p>
    <w:p>
      <w:pPr>
        <w:pStyle w:val="BodyTextIndent"/>
        <w:spacing w:lineRule="auto" w:line="360"/>
        <w:rPr>
          <w:sz w:val="24"/>
        </w:rPr>
      </w:pPr>
      <w:r>
        <w:rPr>
          <w:b/>
          <w:sz w:val="24"/>
        </w:rPr>
        <w:t>III.  Benefits of the Primary and Secondary Receipt Point Structure</w:t>
      </w:r>
    </w:p>
    <w:p>
      <w:pPr>
        <w:pStyle w:val="BodyTextIndent3"/>
        <w:spacing w:lineRule="auto" w:line="360"/>
        <w:ind w:hanging="0" w:start="0" w:end="0"/>
        <w:rPr>
          <w:sz w:val="24"/>
        </w:rPr>
      </w:pPr>
      <w:r>
        <w:rPr>
          <w:sz w:val="24"/>
        </w:rPr>
        <w:tab/>
        <w:t xml:space="preserve">The primary and secondary receipt point structure in the Comprehensive Settlement will benefit all market participants by: </w:t>
      </w:r>
    </w:p>
    <w:p>
      <w:pPr>
        <w:pStyle w:val="BodyTextIndent3"/>
        <w:spacing w:lineRule="auto" w:line="360"/>
        <w:ind w:hanging="0" w:start="0" w:end="0"/>
        <w:rPr>
          <w:sz w:val="24"/>
        </w:rPr>
      </w:pPr>
      <w:r>
        <w:rPr>
          <w:sz w:val="24"/>
        </w:rPr>
        <w:tab/>
        <w:t xml:space="preserve">•  permanently eliminating SoCalGas' windowing procedure </w:t>
      </w:r>
    </w:p>
    <w:p>
      <w:pPr>
        <w:pStyle w:val="BodyTextIndent3"/>
        <w:spacing w:lineRule="auto" w:line="360"/>
        <w:ind w:hanging="0" w:start="0" w:end="0"/>
        <w:rPr>
          <w:sz w:val="24"/>
        </w:rPr>
      </w:pPr>
      <w:r>
        <w:rPr>
          <w:sz w:val="24"/>
        </w:rPr>
        <w:tab/>
        <w:t>•  establishing Hector Road as a commercial receipt point</w:t>
      </w:r>
    </w:p>
    <w:p>
      <w:pPr>
        <w:pStyle w:val="BodyTextIndent3"/>
        <w:spacing w:lineRule="auto" w:line="360"/>
        <w:ind w:hanging="0" w:start="0" w:end="0"/>
        <w:rPr>
          <w:sz w:val="24"/>
        </w:rPr>
      </w:pPr>
      <w:r>
        <w:rPr>
          <w:sz w:val="24"/>
        </w:rPr>
        <w:tab/>
        <w:t>•  creating a system of fair and equal access rights to SoCalGas' system</w:t>
      </w:r>
    </w:p>
    <w:p>
      <w:pPr>
        <w:pStyle w:val="BodyTextIndent3"/>
        <w:spacing w:lineRule="auto" w:line="360"/>
        <w:ind w:hanging="0" w:start="0" w:end="0"/>
        <w:rPr>
          <w:sz w:val="24"/>
        </w:rPr>
      </w:pPr>
      <w:r>
        <w:rPr>
          <w:sz w:val="24"/>
        </w:rPr>
        <w:tab/>
        <w:t xml:space="preserve">•  increasing the certainty of access to receipt points </w:t>
      </w:r>
    </w:p>
    <w:p>
      <w:pPr>
        <w:pStyle w:val="BodyTextIndent3"/>
        <w:spacing w:lineRule="auto" w:line="360"/>
        <w:ind w:hanging="0" w:start="0" w:end="0"/>
        <w:rPr>
          <w:sz w:val="24"/>
        </w:rPr>
      </w:pPr>
      <w:r>
        <w:rPr>
          <w:sz w:val="24"/>
        </w:rPr>
        <w:tab/>
        <w:t>•  providing shippers with greater system flexibility</w:t>
      </w:r>
    </w:p>
    <w:p>
      <w:pPr>
        <w:pStyle w:val="BodyTextIndent3"/>
        <w:spacing w:lineRule="auto" w:line="360"/>
        <w:ind w:hanging="0" w:start="0" w:end="0"/>
        <w:rPr>
          <w:sz w:val="24"/>
        </w:rPr>
      </w:pPr>
      <w:r>
        <w:rPr>
          <w:sz w:val="24"/>
        </w:rPr>
        <w:tab/>
        <w:t xml:space="preserve">•  accommodating the introduction of new supply sources to SoCalGas' system </w:t>
        <w:tab/>
        <w:t>•  facilitating the creation of a secondary market for transportation.</w:t>
      </w:r>
    </w:p>
    <w:p>
      <w:pPr>
        <w:pStyle w:val="BodyTextIndent3"/>
        <w:tabs>
          <w:tab w:val="clear" w:pos="0"/>
          <w:tab w:val="left" w:pos="360" w:leader="none"/>
        </w:tabs>
        <w:spacing w:lineRule="auto" w:line="360"/>
        <w:ind w:hanging="0" w:start="0" w:end="0"/>
        <w:rPr/>
      </w:pPr>
      <w:r>
        <w:rPr>
          <w:sz w:val="24"/>
        </w:rPr>
        <w:tab/>
      </w:r>
      <w:r>
        <w:rPr>
          <w:b/>
          <w:sz w:val="24"/>
        </w:rPr>
        <w:t xml:space="preserve">A.  The receipt point access plan creates a system of fair and equal access rights to SoCalGas' system. </w:t>
      </w:r>
      <w:r>
        <w:rPr>
          <w:sz w:val="24"/>
        </w:rPr>
        <w:t xml:space="preserve"> </w:t>
      </w:r>
    </w:p>
    <w:p>
      <w:pPr>
        <w:pStyle w:val="BodyTextIndent3"/>
        <w:tabs>
          <w:tab w:val="clear" w:pos="0"/>
          <w:tab w:val="left" w:pos="720" w:leader="none"/>
        </w:tabs>
        <w:spacing w:lineRule="auto" w:line="360"/>
        <w:ind w:hanging="0" w:start="0" w:end="0"/>
        <w:rPr/>
      </w:pPr>
      <w:r>
        <w:rPr>
          <w:sz w:val="24"/>
        </w:rPr>
        <w:tab/>
        <w:t xml:space="preserve">The parties to the Comprehensive Settlement have agreed to replace SoCalGas' windowing procedure with a structure that establishes firm receipt point rights and an open season for acquiring capacity.  Receipt point capacity desired by the SoCalGas core procurement group has been set aside.  Other existing SoCalGas customers, including CTAs, and wholesale customers, have the opportunity to access primary receipt point capacities into SoCalGas.  Further, SoCalGas' historical endusers are recognized under the settlement agreement.  As discussed in greater detail in the testimony of </w:t>
      </w:r>
      <w:r>
        <w:rPr>
          <w:color w:val="000000"/>
          <w:sz w:val="24"/>
          <w:lang w:eastAsia="en-US"/>
        </w:rPr>
        <w:t>Jean Zaiontz</w:t>
      </w:r>
      <w:r>
        <w:rPr>
          <w:sz w:val="24"/>
        </w:rPr>
        <w:t xml:space="preserve"> on behalf of the Indicated Producers, these customers are given two unique open season opportunities to obtain SoCalGas primary receipt capacities. </w:t>
      </w:r>
    </w:p>
    <w:p>
      <w:pPr>
        <w:pStyle w:val="BodyTextIndent3"/>
        <w:tabs>
          <w:tab w:val="clear" w:pos="0"/>
          <w:tab w:val="left" w:pos="360" w:leader="none"/>
        </w:tabs>
        <w:spacing w:lineRule="auto" w:line="360"/>
        <w:ind w:hanging="0" w:start="0" w:end="0"/>
        <w:rPr/>
      </w:pPr>
      <w:r>
        <w:rPr>
          <w:sz w:val="24"/>
        </w:rPr>
        <w:tab/>
      </w:r>
      <w:r>
        <w:rPr>
          <w:b/>
          <w:sz w:val="24"/>
        </w:rPr>
        <w:t>B.  The plan eliminates uncertainty with regard to access to receipt points.</w:t>
      </w:r>
      <w:r>
        <w:rPr>
          <w:sz w:val="24"/>
        </w:rPr>
        <w:t xml:space="preserve">  </w:t>
      </w:r>
    </w:p>
    <w:p>
      <w:pPr>
        <w:pStyle w:val="BodyTextIndent3"/>
        <w:tabs>
          <w:tab w:val="clear" w:pos="0"/>
          <w:tab w:val="left" w:pos="720" w:leader="none"/>
        </w:tabs>
        <w:spacing w:lineRule="auto" w:line="360"/>
        <w:ind w:hanging="0" w:start="0" w:end="0"/>
        <w:rPr>
          <w:sz w:val="24"/>
        </w:rPr>
      </w:pPr>
      <w:r>
        <w:rPr>
          <w:sz w:val="24"/>
        </w:rPr>
        <w:tab/>
        <w:t>By eliminating windowing and establishing primary and secondary receipt point rights, the Comprehensive Settlement replaces uncertainty on SoCalGas' system with prescribed, quantifiable, and reliable transmission service.  Primary receipt point capacity entitlements will ensure both upstream and downstream parties that gas flowing into the SoCalGas system will be delivered to SoCalGas' end user customers.  Additionally, with the creation of firm receipt point rights at each of SoCalGas' supply interconnections, market participants will have the certainty on SoCalGas to allow them to take advantage of long term supply to market pathways.  These pathways can be characterized by any combination of supply basin, interstate pipeline and SoCalGas receipt point/backbone transmission service that the market finds of value during the term of the Comprehensive Settlement.  Moreover, with improved access and stricter performance standards for unbundled transmission, participants under this settlement are in a position to optimize the use of SoCalGas' transmission system.  This new efficient system will allow parties to request only what they require and use only what they need without having to game their request for SoCalGas service.</w:t>
      </w:r>
    </w:p>
    <w:p>
      <w:pPr>
        <w:pStyle w:val="BodyTextIndent3"/>
        <w:tabs>
          <w:tab w:val="clear" w:pos="0"/>
          <w:tab w:val="left" w:pos="360" w:leader="none"/>
          <w:tab w:val="left" w:pos="720" w:leader="none"/>
        </w:tabs>
        <w:spacing w:lineRule="auto" w:line="360"/>
        <w:ind w:hanging="0" w:start="0" w:end="0"/>
        <w:rPr>
          <w:b/>
          <w:sz w:val="24"/>
        </w:rPr>
      </w:pPr>
      <w:r>
        <w:rPr>
          <w:b/>
          <w:sz w:val="24"/>
        </w:rPr>
        <w:tab/>
        <w:t xml:space="preserve">C.  The primary/secondary receipt point access structure will provide greater flexibility to shippers. </w:t>
      </w:r>
    </w:p>
    <w:p>
      <w:pPr>
        <w:pStyle w:val="BodyText"/>
        <w:tabs>
          <w:tab w:val="left" w:pos="720" w:leader="none"/>
        </w:tabs>
        <w:rPr/>
      </w:pPr>
      <w:r>
        <w:rPr/>
        <w:tab/>
        <w:t>Under the Comprehensive Settlement, primary receipt point holders will automatically have the option to flex their choice of receipt points to identified secondary receipt points.  These secondary points are physically correlated with the primary receipt points as indicated on Exhibit JCF-1.  They are scheduled after all primary receipt point requests for service have been satisfied.  The introduction of a secondary right program means that as upstream market conditions change, primary receipt point holders gain a useful and flexible option for supply.  Yet these flexible options in no way diminish the benefit of the bargain for existing primary receipt point holders.  Transmission market stability and predictability are enhanced, while flexibility for shippers, suppliers, and marketers is introduced.</w:t>
      </w:r>
    </w:p>
    <w:p>
      <w:pPr>
        <w:pStyle w:val="Normal"/>
        <w:tabs>
          <w:tab w:val="clear" w:pos="720"/>
          <w:tab w:val="left" w:pos="360" w:leader="none"/>
        </w:tabs>
        <w:spacing w:lineRule="auto" w:line="360"/>
        <w:jc w:val="both"/>
        <w:rPr/>
      </w:pPr>
      <w:r>
        <w:rPr>
          <w:b/>
          <w:sz w:val="24"/>
        </w:rPr>
        <w:tab/>
        <w:t>D.  The primary/secondary receipt point plan will assist in the creation of a secondary market for transportation.</w:t>
      </w:r>
      <w:r>
        <w:rPr>
          <w:sz w:val="24"/>
        </w:rPr>
        <w:t xml:space="preserve">  </w:t>
      </w:r>
    </w:p>
    <w:p>
      <w:pPr>
        <w:pStyle w:val="Normal"/>
        <w:tabs>
          <w:tab w:val="left" w:pos="720" w:leader="none"/>
        </w:tabs>
        <w:spacing w:lineRule="auto" w:line="360"/>
        <w:jc w:val="both"/>
        <w:rPr/>
      </w:pPr>
      <w:r>
        <w:rPr>
          <w:sz w:val="24"/>
        </w:rPr>
        <w:tab/>
        <w:t>One of the promising options identified by the Commission was the creation of a secondary transmission market on the SoCalGas system.</w:t>
      </w:r>
      <w:r>
        <w:rPr>
          <w:rStyle w:val="FootnoteCharacters"/>
          <w:rStyle w:val="FootnoteReference"/>
          <w:sz w:val="24"/>
        </w:rPr>
        <w:footnoteReference w:id="7"/>
      </w:r>
      <w:r>
        <w:rPr>
          <w:sz w:val="24"/>
        </w:rPr>
        <w:t xml:space="preserve">  A foundation of any such marketplace is a quantifiable and stable unit of transmission capacity.  The primary/secondary receipt point plan under this Settlement Agreement provides such a foundation.  Both sellers and bidders for backbone capacity will be assured of the exact access and delivery rights afforded to them.  Market participants will be able to send clear pricing signals for capacity on the SoCalGas system.  These qualities will support the formation of a healthy secondary transmission market.</w:t>
      </w:r>
      <w:r>
        <w:br w:type="page"/>
      </w:r>
    </w:p>
    <w:p>
      <w:pPr>
        <w:pStyle w:val="BodyTextIndent2"/>
        <w:spacing w:lineRule="auto" w:line="360"/>
        <w:ind w:hanging="0" w:start="0" w:end="0"/>
        <w:jc w:val="center"/>
        <w:rPr>
          <w:b/>
          <w:sz w:val="24"/>
        </w:rPr>
      </w:pPr>
      <w:r>
        <w:rPr>
          <w:b/>
          <w:sz w:val="24"/>
        </w:rPr>
        <w:t>Conclusion</w:t>
      </w:r>
    </w:p>
    <w:p>
      <w:pPr>
        <w:sectPr>
          <w:headerReference w:type="default" r:id="rId6"/>
          <w:headerReference w:type="first" r:id="rId7"/>
          <w:footerReference w:type="default" r:id="rId8"/>
          <w:footerReference w:type="first" r:id="rId9"/>
          <w:footnotePr>
            <w:numFmt w:val="decimal"/>
          </w:footnotePr>
          <w:type w:val="nextPage"/>
          <w:pgSz w:w="12240" w:h="15840"/>
          <w:pgMar w:left="1800" w:right="1800" w:gutter="0" w:header="720" w:top="1440" w:footer="720" w:bottom="1440"/>
          <w:lnNumType w:countBy="1" w:restart="newPage" w:distance="283"/>
          <w:pgNumType w:start="1" w:fmt="decimal"/>
          <w:formProt w:val="false"/>
          <w:titlePg/>
          <w:textDirection w:val="lrTb"/>
          <w:docGrid w:type="default" w:linePitch="360" w:charSpace="0"/>
        </w:sectPr>
        <w:pStyle w:val="BodyTextIndent2"/>
        <w:spacing w:lineRule="auto" w:line="360"/>
        <w:ind w:hanging="0" w:start="0" w:end="0"/>
        <w:rPr/>
      </w:pPr>
      <w:r>
        <w:rPr/>
        <w:tab/>
      </w:r>
      <w:r>
        <w:rPr>
          <w:sz w:val="24"/>
        </w:rPr>
        <w:t>Because of the above-described benefits that the primary/secondary receipt point access plan under the Comprehensive Settlement will provide to all market participants, and because the plan addresses the promising options identified in D.99-07-015, the Commission should adopt the proposal as in the public interest and consistent with Commission policy.</w:t>
      </w:r>
    </w:p>
    <w:p>
      <w:pPr>
        <w:pStyle w:val="Heading1"/>
        <w:ind w:hanging="0" w:start="0"/>
        <w:jc w:val="center"/>
        <w:rPr/>
      </w:pPr>
      <w:r>
        <w:rPr/>
        <w:t>CERTIFICATE OF SERVICE</w:t>
      </w:r>
    </w:p>
    <w:p>
      <w:pPr>
        <w:pStyle w:val="Normal"/>
        <w:rPr/>
      </w:pPr>
      <w:r>
        <w:rPr/>
      </w:r>
    </w:p>
    <w:p>
      <w:pPr>
        <w:pStyle w:val="Heading"/>
        <w:jc w:val="both"/>
        <w:rPr/>
      </w:pPr>
      <w:r>
        <w:rPr/>
        <w:tab/>
        <w:t>I hereby certify that I have this day served the PREPARED DIRECT TESTIMONY OF JEFFERY C. FAWCETT ON BEHALF OF TRANSWESTERN PIPELINE COMPANY IN SUPPORT OF THE COMPREHENSIVE SETTLEMENT AGREEMENT IN I.99-07-003</w:t>
      </w:r>
      <w:r>
        <w:rPr>
          <w:b/>
        </w:rPr>
        <w:t xml:space="preserve"> </w:t>
      </w:r>
      <w:r>
        <w:rPr/>
        <w:t>upon the persons designated by the California Public Utilities Commission to receive service in this proceeding by depositing copies thereof in the United States Mail, first-class postage prepaid.</w:t>
      </w:r>
    </w:p>
    <w:p>
      <w:pPr>
        <w:pStyle w:val="Normal"/>
        <w:rPr/>
      </w:pPr>
      <w:r>
        <w:rPr/>
      </w:r>
    </w:p>
    <w:p>
      <w:pPr>
        <w:pStyle w:val="BodyText3"/>
        <w:tabs>
          <w:tab w:val="clear" w:pos="0"/>
        </w:tabs>
        <w:spacing w:lineRule="auto" w:line="240"/>
        <w:rPr/>
      </w:pPr>
      <w:r>
        <w:rPr/>
        <w:tab/>
        <w:t>Dated this the 5th day of May, 2000.</w:t>
      </w:r>
    </w:p>
    <w:p>
      <w:pPr>
        <w:pStyle w:val="Normal"/>
        <w:rPr/>
      </w:pPr>
      <w:r>
        <w:rPr/>
      </w:r>
    </w:p>
    <w:p>
      <w:pPr>
        <w:pStyle w:val="Normal"/>
        <w:rPr/>
      </w:pPr>
      <w:r>
        <w:rPr/>
      </w:r>
    </w:p>
    <w:p>
      <w:pPr>
        <w:pStyle w:val="Normal"/>
        <w:rPr/>
      </w:pPr>
      <w:r>
        <w:rPr/>
      </w:r>
    </w:p>
    <w:p>
      <w:pPr>
        <w:pStyle w:val="Normal"/>
        <w:rPr/>
      </w:pPr>
      <w:r>
        <w:rPr/>
      </w:r>
    </w:p>
    <w:p>
      <w:pPr>
        <w:pStyle w:val="Normal"/>
        <w:rPr>
          <w:sz w:val="24"/>
        </w:rPr>
      </w:pPr>
      <w:r>
        <w:rPr>
          <w:sz w:val="24"/>
        </w:rPr>
        <w:tab/>
        <w:tab/>
        <w:tab/>
        <w:tab/>
        <w:tab/>
        <w:t>__________________________________</w:t>
      </w:r>
    </w:p>
    <w:p>
      <w:pPr>
        <w:pStyle w:val="Normal"/>
        <w:rPr>
          <w:sz w:val="24"/>
        </w:rPr>
      </w:pPr>
      <w:r>
        <w:rPr>
          <w:sz w:val="24"/>
        </w:rPr>
        <w:tab/>
        <w:tab/>
        <w:tab/>
        <w:tab/>
        <w:tab/>
        <w:t>Susan Scott</w:t>
      </w:r>
    </w:p>
    <w:p>
      <w:pPr>
        <w:pStyle w:val="BodyTextIndent2"/>
        <w:spacing w:lineRule="auto" w:line="360"/>
        <w:ind w:hanging="0" w:start="0" w:end="0"/>
        <w:rPr>
          <w:sz w:val="24"/>
        </w:rPr>
      </w:pPr>
      <w:r>
        <w:rPr>
          <w:sz w:val="24"/>
        </w:rPr>
      </w:r>
    </w:p>
    <w:sectPr>
      <w:headerReference w:type="default" r:id="rId10"/>
      <w:headerReference w:type="first" r:id="rId11"/>
      <w:footerReference w:type="default" r:id="rId12"/>
      <w:footerReference w:type="first" r:id="rId13"/>
      <w:footnotePr>
        <w:numFmt w:val="decimal"/>
      </w:footnotePr>
      <w:type w:val="nextPage"/>
      <w:pgSz w:w="12240" w:h="15840"/>
      <w:pgMar w:left="1800" w:right="1800" w:gutter="0" w:header="720" w:top="1440" w:footer="720" w:bottom="1440"/>
      <w:lnNumType w:countBy="1" w:restart="newPage" w:distance="28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Book Antiqua">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Finding of Fact No. 1.</w:t>
      </w:r>
    </w:p>
  </w:footnote>
  <w:footnote w:id="3">
    <w:p>
      <w:pPr>
        <w:pStyle w:val="FootnoteText"/>
        <w:rPr/>
      </w:pPr>
      <w:r>
        <w:rPr>
          <w:rStyle w:val="FootnoteCharacters"/>
        </w:rPr>
        <w:footnoteRef/>
      </w:r>
      <w:r>
        <w:rPr/>
        <w:t xml:space="preserve"> </w:t>
      </w:r>
      <w:r>
        <w:rPr/>
        <w:t>Findings of Fact Nos. 3 and 4.</w:t>
      </w:r>
    </w:p>
  </w:footnote>
  <w:footnote w:id="4">
    <w:p>
      <w:pPr>
        <w:pStyle w:val="FootnoteText"/>
        <w:rPr/>
      </w:pPr>
      <w:r>
        <w:rPr>
          <w:rStyle w:val="FootnoteCharacters"/>
        </w:rPr>
        <w:footnoteRef/>
      </w:r>
      <w:r>
        <w:rPr/>
        <w:t xml:space="preserve"> </w:t>
      </w:r>
      <w:r>
        <w:rPr/>
        <w:t>Comprehensive Settlement at p. 8.</w:t>
      </w:r>
    </w:p>
  </w:footnote>
  <w:footnote w:id="5">
    <w:p>
      <w:pPr>
        <w:pStyle w:val="FootnoteText"/>
        <w:rPr/>
      </w:pPr>
      <w:r>
        <w:rPr>
          <w:rStyle w:val="FootnoteCharacters"/>
        </w:rPr>
        <w:footnoteRef/>
      </w:r>
      <w:r>
        <w:rPr/>
        <w:t xml:space="preserve"> </w:t>
      </w:r>
      <w:r>
        <w:rPr/>
        <w:t>Finding of Fact No. 4.</w:t>
      </w:r>
    </w:p>
  </w:footnote>
  <w:footnote w:id="6">
    <w:p>
      <w:pPr>
        <w:pStyle w:val="FootnoteText"/>
        <w:rPr/>
      </w:pPr>
      <w:r>
        <w:rPr>
          <w:rStyle w:val="FootnoteCharacters"/>
        </w:rPr>
        <w:footnoteRef/>
      </w:r>
      <w:r>
        <w:rPr/>
        <w:t xml:space="preserve"> </w:t>
      </w:r>
      <w:r>
        <w:rPr/>
        <w:t>Finding of Fact No. 3.</w:t>
      </w:r>
    </w:p>
  </w:footnote>
  <w:footnote w:id="7">
    <w:p>
      <w:pPr>
        <w:pStyle w:val="FootnoteText"/>
        <w:rPr/>
      </w:pPr>
      <w:r>
        <w:rPr>
          <w:rStyle w:val="FootnoteCharacters"/>
        </w:rPr>
        <w:footnoteRef/>
      </w:r>
      <w:r>
        <w:rPr/>
        <w:t xml:space="preserve"> </w:t>
      </w:r>
      <w:r>
        <w:rPr/>
        <w:t>Finding of Fact No. 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Jeffrey C. Fawcett Testimony</w:t>
      <w:tab/>
      <w:tab/>
      <w:t>I.99-07-003</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Jeffrey C. Fawcett Testimony</w:t>
      <w:tab/>
      <w:tab/>
      <w:t>I.99-07-003</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Jeffrey C. Fawcett Testimony</w:t>
      <w:tab/>
      <w:tab/>
      <w:t>I.99-07-003</w:t>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outlineLvl w:val="0"/>
    </w:pPr>
    <w:rPr>
      <w:b/>
      <w:sz w:val="24"/>
    </w:rPr>
  </w:style>
  <w:style w:type="paragraph" w:styleId="Heading2">
    <w:name w:val="heading 2"/>
    <w:basedOn w:val="Normal"/>
    <w:next w:val="Normal"/>
    <w:qFormat/>
    <w:pPr>
      <w:keepNext w:val="true"/>
      <w:numPr>
        <w:ilvl w:val="1"/>
        <w:numId w:val="1"/>
      </w:numPr>
      <w:spacing w:lineRule="auto" w:line="360"/>
      <w:jc w:val="center"/>
      <w:outlineLvl w:val="1"/>
    </w:pPr>
    <w:rPr>
      <w:b/>
      <w:caps/>
      <w:sz w:val="24"/>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360"/>
      <w:jc w:val="center"/>
    </w:pPr>
    <w:rPr>
      <w:sz w:val="24"/>
    </w:rPr>
  </w:style>
  <w:style w:type="paragraph" w:styleId="BodyText">
    <w:name w:val="Body Text"/>
    <w:basedOn w:val="Normal"/>
    <w:pPr>
      <w:spacing w:lineRule="auto" w:line="36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tabs>
        <w:tab w:val="clear" w:pos="720"/>
        <w:tab w:val="right" w:pos="0" w:leader="none"/>
      </w:tabs>
      <w:ind w:hanging="1440" w:start="144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BodyText2">
    <w:name w:val="Body Text 2"/>
    <w:basedOn w:val="Normal"/>
    <w:qFormat/>
    <w:pPr>
      <w:ind w:hanging="720" w:start="720" w:end="0"/>
    </w:pPr>
    <w:rPr>
      <w:sz w:val="24"/>
    </w:rPr>
  </w:style>
  <w:style w:type="paragraph" w:styleId="FootnoteText">
    <w:name w:val="footnote text"/>
    <w:basedOn w:val="Normal"/>
    <w:pPr/>
    <w:rPr/>
  </w:style>
  <w:style w:type="paragraph" w:styleId="BodyText3">
    <w:name w:val="Body Text 3"/>
    <w:basedOn w:val="Normal"/>
    <w:qFormat/>
    <w:pPr>
      <w:tabs>
        <w:tab w:val="clear" w:pos="720"/>
        <w:tab w:val="left" w:pos="0" w:leader="none"/>
      </w:tabs>
      <w:spacing w:lineRule="auto" w:line="360"/>
    </w:pPr>
    <w:rPr>
      <w:sz w:val="24"/>
    </w:rPr>
  </w:style>
  <w:style w:type="paragraph" w:styleId="Header">
    <w:name w:val="header"/>
    <w:basedOn w:val="Normal"/>
    <w:pPr>
      <w:tabs>
        <w:tab w:val="clear" w:pos="720"/>
        <w:tab w:val="center" w:pos="4320" w:leader="none"/>
        <w:tab w:val="right" w:pos="8640" w:leader="none"/>
      </w:tabs>
    </w:pPr>
    <w:rPr/>
  </w:style>
  <w:style w:type="paragraph" w:styleId="FirmName">
    <w:name w:val="Firm Name"/>
    <w:basedOn w:val="Normal"/>
    <w:qFormat/>
    <w:pPr>
      <w:spacing w:lineRule="exact" w:line="227"/>
      <w:jc w:val="center"/>
    </w:pPr>
    <w:rPr>
      <w:rFonts w:ascii="Courier New" w:hAnsi="Courier New" w:cs="Courier New"/>
      <w:sz w:val="24"/>
    </w:rPr>
  </w:style>
  <w:style w:type="paragraph" w:styleId="HeaderLeft">
    <w:name w:val="Header Left"/>
    <w:basedOn w:val="Header"/>
    <w:qFormat/>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2000-05-03T13:35:00Z</dcterms:created>
  <dc:creator>Susan Scott</dc:creator>
  <dc:description/>
  <dc:language>en-CA</dc:language>
  <cp:lastModifiedBy>jcones</cp:lastModifiedBy>
  <cp:lastPrinted>2000-05-09T14:34:00Z</cp:lastPrinted>
  <dcterms:modified xsi:type="dcterms:W3CDTF">2000-05-09T18:38:00Z</dcterms:modified>
  <cp:revision>18</cp:revision>
  <dc:subject/>
  <dc:title>Basic outline for GIR testimony (questions)</dc:title>
</cp:coreProperties>
</file>