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sz w:val="26"/>
        </w:rPr>
      </w:pPr>
      <w:r>
        <w:rPr>
          <w:sz w:val="26"/>
        </w:rPr>
        <w:t>BEFORE the Meeting</w:t>
      </w:r>
    </w:p>
    <w:p>
      <w:pPr>
        <w:pStyle w:val="Normal"/>
        <w:rPr/>
      </w:pPr>
      <w:r>
        <w:rPr>
          <w:b/>
          <w:bCs/>
        </w:rPr>
        <w:t>Standards development forum</w:t>
      </w:r>
      <w:r>
        <w:rPr/>
        <w:t>.- Dave Nevius told me that they had good discussions with GISB and he was optimistic about “significant” changes.</w:t>
      </w:r>
    </w:p>
    <w:p>
      <w:pPr>
        <w:pStyle w:val="Normal"/>
        <w:rPr/>
      </w:pPr>
      <w:r>
        <w:rPr/>
      </w:r>
    </w:p>
    <w:p>
      <w:pPr>
        <w:pStyle w:val="Heading1"/>
        <w:ind w:hanging="0" w:start="0"/>
        <w:jc w:val="center"/>
        <w:rPr>
          <w:sz w:val="26"/>
        </w:rPr>
      </w:pPr>
      <w:r>
        <w:rPr>
          <w:sz w:val="26"/>
        </w:rPr>
        <w:t>JOINT COMMITTEE PRESENTATIONS</w:t>
      </w:r>
    </w:p>
    <w:p>
      <w:pPr>
        <w:pStyle w:val="Heading2"/>
        <w:ind w:hanging="0" w:start="0"/>
        <w:rPr/>
      </w:pPr>
      <w:r>
        <w:rPr/>
        <w:t>Electronic Scheduling Collaborative. - Presentation</w:t>
      </w:r>
    </w:p>
    <w:p>
      <w:pPr>
        <w:pStyle w:val="Normal"/>
        <w:rPr/>
      </w:pPr>
      <w:r>
        <w:rPr/>
        <w:t xml:space="preserve">FERC filing last October. Clarify eight policy questions. Formalize a continuing organization for the ECS work. </w:t>
      </w:r>
    </w:p>
    <w:p>
      <w:pPr>
        <w:pStyle w:val="Heading2"/>
        <w:ind w:hanging="0" w:start="0"/>
        <w:rPr/>
      </w:pPr>
      <w:r>
        <w:rPr/>
        <w:t>Critical Infrastructure- Protection</w:t>
      </w:r>
    </w:p>
    <w:p>
      <w:pPr>
        <w:pStyle w:val="Header"/>
        <w:tabs>
          <w:tab w:val="clear" w:pos="4320"/>
          <w:tab w:val="clear" w:pos="8640"/>
        </w:tabs>
        <w:rPr/>
      </w:pPr>
      <w:r>
        <w:rPr/>
        <w:t>PARANIOA!!! NERC as the “official” liaison with Government agencies about industry security (ISAC). Game plan of what needs to be reviewed on the long term. Call to arms to utility operators to be “pro-active”</w:t>
      </w:r>
    </w:p>
    <w:p>
      <w:pPr>
        <w:pStyle w:val="Heading2"/>
        <w:ind w:hanging="0" w:start="0"/>
        <w:rPr/>
      </w:pPr>
      <w:r>
        <w:rPr/>
        <w:t>Standing Committees Representation Task Force.</w:t>
      </w:r>
    </w:p>
    <w:p>
      <w:pPr>
        <w:pStyle w:val="Normal"/>
        <w:rPr/>
      </w:pPr>
      <w:r>
        <w:rPr/>
        <w:t>Status report- Work continues for the February Board meeting – Features presented:</w:t>
      </w:r>
    </w:p>
    <w:p>
      <w:pPr>
        <w:pStyle w:val="Normal"/>
        <w:numPr>
          <w:ilvl w:val="0"/>
          <w:numId w:val="2"/>
        </w:numPr>
        <w:rPr/>
      </w:pPr>
      <w:r>
        <w:rPr/>
        <w:t>Creation of a “standards” committee with differentiated industry representation</w:t>
      </w:r>
    </w:p>
    <w:p>
      <w:pPr>
        <w:pStyle w:val="Normal"/>
        <w:numPr>
          <w:ilvl w:val="0"/>
          <w:numId w:val="2"/>
        </w:numPr>
        <w:rPr/>
      </w:pPr>
      <w:r>
        <w:rPr/>
        <w:t>Standing committees roles to be defined – However, no direct input in standard definitions</w:t>
      </w:r>
    </w:p>
    <w:p>
      <w:pPr>
        <w:pStyle w:val="Normal"/>
        <w:rPr/>
      </w:pPr>
      <w:r>
        <w:rPr/>
      </w:r>
    </w:p>
    <w:p>
      <w:pPr>
        <w:pStyle w:val="Heading3"/>
        <w:ind w:hanging="0" w:start="360" w:end="0"/>
        <w:rPr/>
      </w:pPr>
      <w:r>
        <w:rPr/>
        <w:t>NERC’s Non-Standards Activities and Functions</w:t>
      </w:r>
    </w:p>
    <w:p>
      <w:pPr>
        <w:pStyle w:val="Normal"/>
        <w:ind w:start="720" w:end="0"/>
        <w:rPr>
          <w:i/>
          <w:i/>
          <w:iCs/>
        </w:rPr>
      </w:pPr>
      <w:r>
        <w:rPr>
          <w:i/>
          <w:iCs/>
        </w:rPr>
        <w:t>Reliability Assessment</w:t>
      </w:r>
    </w:p>
    <w:p>
      <w:pPr>
        <w:pStyle w:val="Normal"/>
        <w:ind w:start="720" w:end="0"/>
        <w:rPr>
          <w:i/>
          <w:i/>
          <w:iCs/>
        </w:rPr>
      </w:pPr>
      <w:r>
        <w:rPr>
          <w:i/>
          <w:iCs/>
        </w:rPr>
        <w:t>Compliance</w:t>
      </w:r>
    </w:p>
    <w:p>
      <w:pPr>
        <w:pStyle w:val="Normal"/>
        <w:ind w:start="720" w:end="0"/>
        <w:rPr>
          <w:i/>
          <w:i/>
          <w:iCs/>
        </w:rPr>
      </w:pPr>
      <w:r>
        <w:rPr>
          <w:i/>
          <w:iCs/>
        </w:rPr>
        <w:t>Data (GADS, ES&amp;D)</w:t>
      </w:r>
    </w:p>
    <w:p>
      <w:pPr>
        <w:pStyle w:val="Normal"/>
        <w:ind w:start="720" w:end="0"/>
        <w:rPr>
          <w:i/>
          <w:i/>
          <w:iCs/>
        </w:rPr>
      </w:pPr>
      <w:r>
        <w:rPr>
          <w:i/>
          <w:iCs/>
        </w:rPr>
        <w:t>Issues Development</w:t>
      </w:r>
    </w:p>
    <w:p>
      <w:pPr>
        <w:pStyle w:val="Normal"/>
        <w:ind w:start="720" w:end="0"/>
        <w:rPr>
          <w:i/>
          <w:i/>
          <w:iCs/>
        </w:rPr>
      </w:pPr>
      <w:r>
        <w:rPr>
          <w:i/>
          <w:iCs/>
        </w:rPr>
        <w:t>Operational Security</w:t>
      </w:r>
    </w:p>
    <w:p>
      <w:pPr>
        <w:pStyle w:val="Normal"/>
        <w:ind w:start="720" w:end="0"/>
        <w:rPr>
          <w:i/>
          <w:i/>
          <w:iCs/>
        </w:rPr>
      </w:pPr>
      <w:r>
        <w:rPr>
          <w:i/>
          <w:iCs/>
        </w:rPr>
        <w:t>Critical Infrastructure Protection</w:t>
      </w:r>
    </w:p>
    <w:p>
      <w:pPr>
        <w:pStyle w:val="Normal"/>
        <w:ind w:start="720" w:end="0"/>
        <w:rPr>
          <w:i/>
          <w:i/>
          <w:iCs/>
        </w:rPr>
      </w:pPr>
      <w:r>
        <w:rPr>
          <w:i/>
          <w:iCs/>
        </w:rPr>
        <w:t>Transaction Management</w:t>
      </w:r>
    </w:p>
    <w:p>
      <w:pPr>
        <w:pStyle w:val="Normal"/>
        <w:ind w:start="720" w:end="0"/>
        <w:rPr>
          <w:i/>
          <w:i/>
          <w:iCs/>
        </w:rPr>
      </w:pPr>
      <w:r>
        <w:rPr>
          <w:i/>
          <w:iCs/>
        </w:rPr>
        <w:t>Market Interface</w:t>
      </w:r>
    </w:p>
    <w:p>
      <w:pPr>
        <w:pStyle w:val="Normal"/>
        <w:rPr>
          <w:b/>
          <w:bCs/>
          <w:i/>
          <w:i/>
          <w:iCs/>
        </w:rPr>
      </w:pPr>
      <w:r>
        <w:rPr>
          <w:b/>
          <w:bCs/>
          <w:i/>
          <w:iCs/>
        </w:rPr>
      </w:r>
    </w:p>
    <w:p>
      <w:pPr>
        <w:pStyle w:val="Header"/>
        <w:tabs>
          <w:tab w:val="clear" w:pos="4320"/>
          <w:tab w:val="clear" w:pos="8640"/>
        </w:tabs>
        <w:ind w:start="720" w:end="0"/>
        <w:rPr>
          <w:b/>
          <w:bCs/>
        </w:rPr>
      </w:pPr>
      <w:r>
        <w:rPr>
          <w:b/>
          <w:bCs/>
        </w:rPr>
        <w:t>Timetable</w:t>
      </w:r>
    </w:p>
    <w:p>
      <w:pPr>
        <w:pStyle w:val="Header"/>
        <w:tabs>
          <w:tab w:val="clear" w:pos="4320"/>
          <w:tab w:val="clear" w:pos="8640"/>
        </w:tabs>
        <w:ind w:start="720" w:end="0"/>
        <w:rPr>
          <w:i/>
          <w:i/>
          <w:iCs/>
        </w:rPr>
      </w:pPr>
      <w:r>
        <w:rPr>
          <w:i/>
          <w:iCs/>
        </w:rPr>
        <w:t xml:space="preserve">Nov 16 </w:t>
        <w:tab/>
        <w:t>Revised drafts to task force</w:t>
      </w:r>
    </w:p>
    <w:p>
      <w:pPr>
        <w:pStyle w:val="Normal"/>
        <w:ind w:start="720" w:end="0"/>
        <w:rPr>
          <w:i/>
          <w:i/>
          <w:iCs/>
        </w:rPr>
      </w:pPr>
      <w:r>
        <w:rPr>
          <w:i/>
          <w:iCs/>
        </w:rPr>
        <w:t xml:space="preserve">Nov 21 </w:t>
        <w:tab/>
        <w:t>Task Force comments back to NERC</w:t>
      </w:r>
    </w:p>
    <w:p>
      <w:pPr>
        <w:pStyle w:val="Normal"/>
        <w:ind w:start="720" w:end="0"/>
        <w:rPr>
          <w:i/>
          <w:i/>
          <w:iCs/>
        </w:rPr>
      </w:pPr>
      <w:r>
        <w:rPr>
          <w:i/>
          <w:iCs/>
        </w:rPr>
        <w:t xml:space="preserve">Nov 26 </w:t>
        <w:tab/>
        <w:t>Preliminary proposal to BOT, SHC, TSC</w:t>
      </w:r>
    </w:p>
    <w:p>
      <w:pPr>
        <w:pStyle w:val="Normal"/>
        <w:ind w:start="720" w:end="0"/>
        <w:rPr>
          <w:i/>
          <w:i/>
          <w:iCs/>
        </w:rPr>
      </w:pPr>
      <w:r>
        <w:rPr>
          <w:i/>
          <w:iCs/>
        </w:rPr>
        <w:t>Nov 30</w:t>
        <w:tab/>
        <w:t>Response from BOT, SHC, TSC (any show stoppers?)</w:t>
      </w:r>
    </w:p>
    <w:p>
      <w:pPr>
        <w:pStyle w:val="Normal"/>
        <w:ind w:start="720" w:end="0"/>
        <w:rPr>
          <w:i/>
          <w:i/>
          <w:iCs/>
        </w:rPr>
      </w:pPr>
      <w:r>
        <w:rPr>
          <w:i/>
          <w:iCs/>
        </w:rPr>
        <w:t>Dec 4</w:t>
        <w:tab/>
        <w:t>NOI to develop WESM process; request for comments</w:t>
      </w:r>
    </w:p>
    <w:p>
      <w:pPr>
        <w:pStyle w:val="Normal"/>
        <w:ind w:start="720" w:end="0"/>
        <w:rPr>
          <w:i/>
          <w:i/>
          <w:iCs/>
        </w:rPr>
      </w:pPr>
      <w:r>
        <w:rPr>
          <w:i/>
          <w:iCs/>
        </w:rPr>
        <w:t>Dec 7</w:t>
        <w:tab/>
        <w:t>DOE Workshop</w:t>
      </w:r>
    </w:p>
    <w:p>
      <w:pPr>
        <w:pStyle w:val="Normal"/>
        <w:ind w:start="720" w:end="0"/>
        <w:rPr>
          <w:i/>
          <w:i/>
          <w:iCs/>
        </w:rPr>
      </w:pPr>
      <w:r>
        <w:rPr>
          <w:i/>
          <w:iCs/>
        </w:rPr>
        <w:t>Jan 8</w:t>
        <w:tab/>
        <w:tab/>
        <w:t>Public comments due</w:t>
      </w:r>
    </w:p>
    <w:p>
      <w:pPr>
        <w:pStyle w:val="Normal"/>
        <w:ind w:start="720" w:end="0"/>
        <w:rPr>
          <w:i/>
          <w:i/>
          <w:iCs/>
        </w:rPr>
      </w:pPr>
      <w:r>
        <w:rPr>
          <w:i/>
          <w:iCs/>
        </w:rPr>
        <w:t>Jan 15</w:t>
        <w:tab/>
        <w:t>Task Force finalize recommendations</w:t>
      </w:r>
    </w:p>
    <w:p>
      <w:pPr>
        <w:pStyle w:val="Normal"/>
        <w:ind w:start="720" w:end="0"/>
        <w:rPr>
          <w:i/>
          <w:i/>
          <w:iCs/>
        </w:rPr>
      </w:pPr>
      <w:r>
        <w:rPr>
          <w:i/>
          <w:iCs/>
        </w:rPr>
        <w:t>Feb 1</w:t>
        <w:tab/>
        <w:tab/>
        <w:t>Final recommendations to BOT, SHC </w:t>
      </w:r>
    </w:p>
    <w:p>
      <w:pPr>
        <w:pStyle w:val="Normal"/>
        <w:ind w:start="720" w:end="0"/>
        <w:rPr>
          <w:i/>
          <w:i/>
          <w:iCs/>
        </w:rPr>
      </w:pPr>
      <w:r>
        <w:rPr>
          <w:i/>
          <w:iCs/>
        </w:rPr>
        <w:t>Feb 19-20</w:t>
        <w:tab/>
        <w:t>SHC/BOT Meetings</w:t>
      </w:r>
    </w:p>
    <w:p>
      <w:pPr>
        <w:pStyle w:val="Normal"/>
        <w:ind w:start="720" w:end="0"/>
        <w:rPr>
          <w:i/>
          <w:i/>
          <w:iCs/>
        </w:rPr>
      </w:pPr>
      <w:r>
        <w:rPr>
          <w:i/>
          <w:iCs/>
        </w:rPr>
        <w:t>Mar 1</w:t>
        <w:tab/>
        <w:tab/>
        <w:t>Begin implementation</w:t>
      </w:r>
    </w:p>
    <w:p>
      <w:pPr>
        <w:pStyle w:val="Normal"/>
        <w:rPr>
          <w:i/>
          <w:i/>
          <w:iCs/>
        </w:rPr>
      </w:pPr>
      <w:r>
        <w:rPr>
          <w:i/>
          <w:iCs/>
        </w:rPr>
      </w:r>
      <w:r>
        <w:br w:type="page"/>
      </w:r>
    </w:p>
    <w:p>
      <w:pPr>
        <w:pStyle w:val="Heading1"/>
        <w:ind w:hanging="0" w:start="0"/>
        <w:jc w:val="center"/>
        <w:rPr>
          <w:sz w:val="26"/>
        </w:rPr>
      </w:pPr>
      <w:r>
        <w:rPr>
          <w:sz w:val="26"/>
        </w:rPr>
        <w:t>PLANNING COMMITEE</w:t>
      </w:r>
    </w:p>
    <w:p>
      <w:pPr>
        <w:pStyle w:val="Heading2"/>
        <w:ind w:hanging="0" w:start="0"/>
        <w:rPr/>
      </w:pPr>
      <w:r>
        <w:rPr/>
        <w:t>Discussion about the Standards Development Organization</w:t>
      </w:r>
    </w:p>
    <w:p>
      <w:pPr>
        <w:pStyle w:val="Normal"/>
        <w:rPr/>
      </w:pPr>
      <w:r>
        <w:rPr/>
        <w:t xml:space="preserve">Strong opposition by some of the members – </w:t>
      </w:r>
    </w:p>
    <w:p>
      <w:pPr>
        <w:pStyle w:val="BodyTextIndent"/>
        <w:rPr/>
      </w:pPr>
      <w:r>
        <w:rPr/>
        <w:t>If they do not do standards, what is their role?</w:t>
      </w:r>
    </w:p>
    <w:p>
      <w:pPr>
        <w:pStyle w:val="Normal"/>
        <w:ind w:start="720" w:end="0"/>
        <w:rPr/>
      </w:pPr>
      <w:r>
        <w:rPr/>
        <w:t>How will small utilities (municipal) participate? If they were not involved in standard development they will vote NO! when they are asked to ratify a standard.</w:t>
      </w:r>
    </w:p>
    <w:p>
      <w:pPr>
        <w:pStyle w:val="Normal"/>
        <w:ind w:start="720" w:end="0"/>
        <w:rPr/>
      </w:pPr>
      <w:r>
        <w:rPr/>
      </w:r>
    </w:p>
    <w:p>
      <w:pPr>
        <w:pStyle w:val="Normal"/>
        <w:ind w:start="720" w:end="0"/>
        <w:rPr/>
      </w:pPr>
      <w:r>
        <w:rPr/>
        <w:t>A sense that they were not represented at the Stakeholders Committee, and that the non-utility vote carried the day.</w:t>
      </w:r>
    </w:p>
    <w:p>
      <w:pPr>
        <w:pStyle w:val="Normal"/>
        <w:ind w:start="720" w:end="0"/>
        <w:rPr/>
      </w:pPr>
      <w:r>
        <w:rPr/>
      </w:r>
    </w:p>
    <w:p>
      <w:pPr>
        <w:pStyle w:val="Normal"/>
        <w:ind w:start="720" w:end="0"/>
        <w:rPr/>
      </w:pPr>
      <w:r>
        <w:rPr/>
        <w:t>Note - I gave them the color commentary of how the meeting went. At the end they seemed to be resigned that the change is inevitable – one way or another, with or without NERC, a single commercial-reliability forum is to be created.</w:t>
      </w:r>
    </w:p>
    <w:p>
      <w:pPr>
        <w:pStyle w:val="Heading2"/>
        <w:ind w:hanging="0" w:start="0"/>
        <w:rPr/>
      </w:pPr>
      <w:r>
        <w:rPr/>
        <w:t>Spare Transformers data base</w:t>
      </w:r>
    </w:p>
    <w:p>
      <w:pPr>
        <w:pStyle w:val="Normal"/>
        <w:rPr/>
      </w:pPr>
      <w:r>
        <w:rPr/>
        <w:t>Sep11 Concerns about security and concerns about the timeliness of the information. Data can only be accessed by calling NERC</w:t>
      </w:r>
    </w:p>
    <w:p>
      <w:pPr>
        <w:pStyle w:val="Heading2"/>
        <w:ind w:hanging="0" w:start="0"/>
        <w:rPr/>
      </w:pPr>
      <w:r>
        <w:rPr/>
        <w:t>Data – Security Issues</w:t>
      </w:r>
    </w:p>
    <w:p>
      <w:pPr>
        <w:pStyle w:val="Normal"/>
        <w:rPr/>
      </w:pPr>
      <w:r>
        <w:rPr/>
        <w:t xml:space="preserve">On-going discussions with DoE about industry data and infrastructure security. Liaison with EEI. </w:t>
      </w:r>
    </w:p>
    <w:p>
      <w:pPr>
        <w:pStyle w:val="Normal"/>
        <w:rPr/>
      </w:pPr>
      <w:r>
        <w:rPr/>
        <w:t>Need to assign individual passwords to users  (Not just the Corporate ID)</w:t>
      </w:r>
    </w:p>
    <w:p>
      <w:pPr>
        <w:pStyle w:val="Heading2"/>
        <w:ind w:hanging="0" w:start="0"/>
        <w:rPr/>
      </w:pPr>
      <w:r>
        <w:rPr/>
        <w:t xml:space="preserve">Multiregional Modeling- </w:t>
      </w:r>
    </w:p>
    <w:p>
      <w:pPr>
        <w:pStyle w:val="Normal"/>
        <w:rPr/>
      </w:pPr>
      <w:r>
        <w:rPr/>
        <w:t>Simulate the simultaneous effects of multi-regional flows on the key interconnections. Test  the Eastern Interconnection, using the EPRI software, TRACE</w:t>
      </w:r>
    </w:p>
    <w:p>
      <w:pPr>
        <w:pStyle w:val="Normal"/>
        <w:rPr/>
      </w:pPr>
      <w:r>
        <w:rPr/>
      </w:r>
    </w:p>
    <w:p>
      <w:pPr>
        <w:pStyle w:val="Normal"/>
        <w:rPr/>
      </w:pPr>
      <w:r>
        <w:rPr/>
        <w:t>Heavy opposition. Planners have done these transfer capability studies. They saw no need of further studies that may yield a “different” answer; thus create a dilemma about which results to use.</w:t>
      </w:r>
    </w:p>
    <w:p>
      <w:pPr>
        <w:pStyle w:val="Normal"/>
        <w:rPr/>
      </w:pPr>
      <w:r>
        <w:rPr/>
      </w:r>
    </w:p>
    <w:p>
      <w:pPr>
        <w:pStyle w:val="Normal"/>
        <w:rPr/>
      </w:pPr>
      <w:r>
        <w:rPr/>
        <w:t>The need was raised by the “Security Coordinators”. Good old-fashioned “turf” discussions about who has the responsibility to determine the transfer capability.</w:t>
      </w:r>
    </w:p>
    <w:p>
      <w:pPr>
        <w:pStyle w:val="Normal"/>
        <w:rPr/>
      </w:pPr>
      <w:r>
        <w:rPr/>
      </w:r>
    </w:p>
    <w:p>
      <w:pPr>
        <w:pStyle w:val="Normal"/>
        <w:rPr/>
      </w:pPr>
      <w:r>
        <w:rPr/>
        <w:t>Group had to go along when the EPRI representative stated that they were paying for the effort.</w:t>
      </w:r>
    </w:p>
    <w:p>
      <w:pPr>
        <w:pStyle w:val="Normal"/>
        <w:rPr/>
      </w:pPr>
      <w:r>
        <w:rPr/>
      </w:r>
    </w:p>
    <w:p>
      <w:pPr>
        <w:pStyle w:val="Heading2"/>
        <w:ind w:hanging="0" w:start="0"/>
        <w:rPr/>
      </w:pPr>
      <w:r>
        <w:rPr/>
        <w:t>Standards Transition Task Force - Presentation</w:t>
      </w:r>
    </w:p>
    <w:p>
      <w:pPr>
        <w:pStyle w:val="Normal"/>
        <w:rPr/>
      </w:pPr>
      <w:r>
        <w:rPr/>
        <w:t>Move from current Standing Committees to new “Organizational” format, with representation from the three Committees.</w:t>
      </w:r>
    </w:p>
    <w:p>
      <w:pPr>
        <w:pStyle w:val="Normal"/>
        <w:rPr/>
      </w:pPr>
      <w:r>
        <w:rPr/>
      </w:r>
    </w:p>
    <w:p>
      <w:pPr>
        <w:pStyle w:val="Normal"/>
        <w:rPr/>
      </w:pPr>
      <w:r>
        <w:rPr/>
        <w:t>Board has approved the new process (Manual). NERC has hired consultants for the effort. The Task Force work is complete (being disbanded). The Standards Authorization Committee is to be formed.</w:t>
      </w:r>
    </w:p>
    <w:p>
      <w:pPr>
        <w:pStyle w:val="Normal"/>
        <w:rPr/>
      </w:pPr>
      <w:r>
        <w:rPr/>
        <w:t xml:space="preserve">Principles proposed to guide the effort. An organizational “taxonomy” suggested. </w:t>
      </w:r>
    </w:p>
    <w:p>
      <w:pPr>
        <w:pStyle w:val="Normal"/>
        <w:rPr/>
      </w:pPr>
      <w:r>
        <w:rPr/>
      </w:r>
    </w:p>
    <w:p>
      <w:pPr>
        <w:pStyle w:val="Normal"/>
        <w:rPr/>
      </w:pPr>
      <w:r>
        <w:rPr>
          <w:b/>
          <w:bCs/>
          <w:color w:val="FF0000"/>
        </w:rPr>
        <w:t>Rebellion!!!</w:t>
      </w:r>
      <w:r>
        <w:rPr/>
        <w:t xml:space="preserve"> –Is the work of the PSS Committee to stop? Existing standards will co-exist until ratified or modified.</w:t>
      </w:r>
    </w:p>
    <w:p>
      <w:pPr>
        <w:pStyle w:val="Normal"/>
        <w:rPr/>
      </w:pPr>
      <w:r>
        <w:rPr/>
      </w:r>
    </w:p>
    <w:p>
      <w:pPr>
        <w:pStyle w:val="Heading2"/>
        <w:ind w:hanging="0" w:start="0"/>
        <w:rPr/>
      </w:pPr>
      <w:r>
        <w:rPr/>
        <w:t>Definition of Bulk Electric System</w:t>
      </w:r>
    </w:p>
    <w:p>
      <w:pPr>
        <w:pStyle w:val="Normal"/>
        <w:rPr/>
      </w:pPr>
      <w:r>
        <w:rPr>
          <w:b/>
          <w:bCs/>
          <w:color w:val="FF0000"/>
        </w:rPr>
        <w:t>Hotly debated !!!</w:t>
      </w:r>
      <w:r>
        <w:rPr/>
        <w:t>– Action Postponed – Fundamental definition for much of NERC scope of action</w:t>
      </w:r>
    </w:p>
    <w:p>
      <w:pPr>
        <w:pStyle w:val="Normal"/>
        <w:rPr/>
      </w:pPr>
      <w:r>
        <w:rPr/>
        <w:t>Definitions alternatives included combinations of 1) hardware, 2) software; 3) support facilities; 4) system operating support descriptions</w:t>
      </w:r>
    </w:p>
    <w:p>
      <w:pPr>
        <w:pStyle w:val="Normal"/>
        <w:rPr/>
      </w:pPr>
      <w:r>
        <w:rPr/>
        <w:t>Options very broad – not precise.</w:t>
      </w:r>
    </w:p>
    <w:p>
      <w:pPr>
        <w:pStyle w:val="Normal"/>
        <w:rPr/>
      </w:pPr>
      <w:r>
        <w:rPr/>
        <w:t xml:space="preserve">Behind these seemingly benign definitions are very important jurisdictional issues </w:t>
      </w:r>
    </w:p>
    <w:p>
      <w:pPr>
        <w:pStyle w:val="Heading2"/>
        <w:ind w:hanging="0" w:start="0"/>
        <w:rPr/>
      </w:pPr>
      <w:r>
        <w:rPr/>
        <w:t>WSCO vs NERC standards for bus-tie breakers</w:t>
      </w:r>
    </w:p>
    <w:p>
      <w:pPr>
        <w:pStyle w:val="Normal"/>
        <w:rPr/>
      </w:pPr>
      <w:r>
        <w:rPr>
          <w:b/>
          <w:bCs/>
          <w:color w:val="FF0000"/>
        </w:rPr>
        <w:t>LONG Hot debate !!!</w:t>
      </w:r>
      <w:r>
        <w:rPr/>
        <w:t xml:space="preserve">– Motion for separate standard, or waiver, was </w:t>
      </w:r>
      <w:r>
        <w:rPr>
          <w:u w:val="single"/>
        </w:rPr>
        <w:t>barely</w:t>
      </w:r>
      <w:r>
        <w:rPr/>
        <w:t xml:space="preserve"> defeated.</w:t>
      </w:r>
    </w:p>
    <w:p>
      <w:pPr>
        <w:pStyle w:val="Normal"/>
        <w:rPr>
          <w:color w:val="FF0000"/>
        </w:rPr>
      </w:pPr>
      <w:r>
        <w:rPr/>
        <w:t>Involves old installations- WSCO was asking for an exemption- However, the request  was not site specific, nor backed with detailed studies for each site. The argument was “we always done it this way. It is expensive to change”. The concern is that breaker failure may lead to cascading under some situations</w:t>
      </w:r>
    </w:p>
    <w:p>
      <w:pPr>
        <w:pStyle w:val="Normal"/>
        <w:rPr>
          <w:color w:val="FF0000"/>
        </w:rPr>
      </w:pPr>
      <w:r>
        <w:rPr>
          <w:color w:val="FF0000"/>
        </w:rPr>
      </w:r>
    </w:p>
    <w:p>
      <w:pPr>
        <w:pStyle w:val="Normal"/>
        <w:rPr/>
      </w:pPr>
      <w:r>
        <w:rPr/>
        <w:t xml:space="preserve">Note. This request was for tie breakers, not for in-line breaker- </w:t>
      </w:r>
    </w:p>
    <w:p>
      <w:pPr>
        <w:pStyle w:val="Normal"/>
        <w:rPr/>
      </w:pPr>
      <w:r>
        <w:rPr/>
      </w:r>
    </w:p>
    <w:p>
      <w:pPr>
        <w:pStyle w:val="Normal"/>
        <w:rPr/>
      </w:pPr>
      <w:r>
        <w:rPr/>
        <w:t>The review subcommittee had held a conference call and was not convinced that the West should have the broad exemption.</w:t>
      </w:r>
    </w:p>
    <w:p>
      <w:pPr>
        <w:pStyle w:val="Heading2"/>
        <w:ind w:hanging="0" w:start="0"/>
        <w:rPr/>
      </w:pPr>
      <w:r>
        <w:rPr/>
        <w:t>Reliability Assessments for 2002</w:t>
      </w:r>
    </w:p>
    <w:p>
      <w:pPr>
        <w:pStyle w:val="Normal"/>
        <w:rPr/>
      </w:pPr>
      <w:r>
        <w:rPr>
          <w:b/>
          <w:bCs/>
          <w:color w:val="FF0000"/>
        </w:rPr>
        <w:t>HOT DEBATE.</w:t>
      </w:r>
      <w:r>
        <w:rPr/>
        <w:t xml:space="preserve"> </w:t>
      </w:r>
      <w:r>
        <w:rPr>
          <w:b/>
          <w:bCs/>
          <w:color w:val="FF0000"/>
        </w:rPr>
        <w:t>!!!!</w:t>
      </w:r>
      <w:r>
        <w:rPr/>
        <w:t xml:space="preserve"> Critique of last years’ effort in the </w:t>
      </w:r>
      <w:r>
        <w:rPr>
          <w:b/>
          <w:bCs/>
        </w:rPr>
        <w:t>issues section</w:t>
      </w:r>
      <w:r>
        <w:rPr/>
        <w:t>. Rather than describe the issues, the  draft report went further into “advocacy” for certain positions; thus,  it was not supported as it was sent for Board review.</w:t>
      </w:r>
    </w:p>
    <w:p>
      <w:pPr>
        <w:pStyle w:val="Normal"/>
        <w:rPr/>
      </w:pPr>
      <w:r>
        <w:rPr/>
      </w:r>
    </w:p>
    <w:p>
      <w:pPr>
        <w:pStyle w:val="BodyTextIndent"/>
        <w:rPr/>
      </w:pPr>
      <w:r>
        <w:rPr/>
        <w:t>Some issues were not identified by the RAS members; rather they were surfaced by the NERC staff.</w:t>
      </w:r>
    </w:p>
    <w:p>
      <w:pPr>
        <w:pStyle w:val="Normal"/>
        <w:ind w:start="720" w:end="0"/>
        <w:rPr/>
      </w:pPr>
      <w:r>
        <w:rPr/>
        <w:t>On what issues should NERC take a position? Focus should be reliability, not outside the scope. Example – “Are there sufficient gas supplies??” Is outside the expertise of the RAS group</w:t>
      </w:r>
    </w:p>
    <w:p>
      <w:pPr>
        <w:pStyle w:val="Normal"/>
        <w:ind w:start="720" w:end="0"/>
        <w:rPr/>
      </w:pPr>
      <w:r>
        <w:rPr/>
        <w:t>Another example – A concern of  a Nox /Flame out – due to under frequency relay action is an specific equipment issue. (not within the scope)</w:t>
      </w:r>
    </w:p>
    <w:p>
      <w:pPr>
        <w:pStyle w:val="Normal"/>
        <w:rPr/>
      </w:pPr>
      <w:r>
        <w:rPr/>
      </w:r>
    </w:p>
    <w:p>
      <w:pPr>
        <w:pStyle w:val="Header"/>
        <w:tabs>
          <w:tab w:val="clear" w:pos="4320"/>
          <w:tab w:val="clear" w:pos="8640"/>
        </w:tabs>
        <w:rPr/>
      </w:pPr>
      <w:r>
        <w:rPr/>
        <w:t>The RAS spokesman was rebellious; wanted the Planning Committee to decide the limitation of this section – number of issues to be covered, what issues etc. The PC did not take the bait.</w:t>
      </w:r>
    </w:p>
    <w:p>
      <w:pPr>
        <w:pStyle w:val="Header"/>
        <w:tabs>
          <w:tab w:val="clear" w:pos="4320"/>
          <w:tab w:val="clear" w:pos="8640"/>
        </w:tabs>
        <w:rPr/>
      </w:pPr>
      <w:r>
        <w:rPr/>
      </w:r>
    </w:p>
    <w:p>
      <w:pPr>
        <w:pStyle w:val="Header"/>
        <w:tabs>
          <w:tab w:val="clear" w:pos="4320"/>
          <w:tab w:val="clear" w:pos="8640"/>
        </w:tabs>
        <w:rPr/>
      </w:pPr>
      <w:r>
        <w:rPr/>
        <w:t>Observation – The appears that the members do not use well –tested  “issues identification and prioritization processes”</w:t>
      </w:r>
    </w:p>
    <w:p>
      <w:pPr>
        <w:pStyle w:val="Header"/>
        <w:tabs>
          <w:tab w:val="clear" w:pos="4320"/>
          <w:tab w:val="clear" w:pos="8640"/>
        </w:tabs>
        <w:rPr/>
      </w:pPr>
      <w:r>
        <w:rPr/>
      </w:r>
    </w:p>
    <w:p>
      <w:pPr>
        <w:pStyle w:val="Header"/>
        <w:tabs>
          <w:tab w:val="clear" w:pos="4320"/>
          <w:tab w:val="clear" w:pos="8640"/>
        </w:tabs>
        <w:rPr/>
      </w:pPr>
      <w:r>
        <w:rPr/>
        <w:t xml:space="preserve">Another hot debate about the Report’s comments about the </w:t>
      </w:r>
      <w:r>
        <w:rPr>
          <w:u w:val="single"/>
        </w:rPr>
        <w:t xml:space="preserve">MISO winter readiness. </w:t>
      </w:r>
      <w:r>
        <w:rPr/>
        <w:t xml:space="preserve"> The report stated that with the implementation of RTOs , flow patterns change, and this would apply to the MISO. A motion to make it generic and remove specific mention of MISO, failed.</w:t>
      </w:r>
    </w:p>
    <w:p>
      <w:pPr>
        <w:pStyle w:val="Heading2"/>
        <w:ind w:hanging="0" w:start="0"/>
        <w:rPr/>
      </w:pPr>
      <w:r>
        <w:rPr/>
        <w:t>Resource adequacy – presentation</w:t>
      </w:r>
    </w:p>
    <w:p>
      <w:pPr>
        <w:pStyle w:val="Header"/>
        <w:tabs>
          <w:tab w:val="clear" w:pos="4320"/>
          <w:tab w:val="clear" w:pos="8640"/>
        </w:tabs>
        <w:rPr/>
      </w:pPr>
      <w:r>
        <w:rPr/>
        <w:t>Issues of Transition from “Regulated Adequacy” to “Market will provide Adequacy”. Report being developed (Geoff Gaebe – IOU)</w:t>
      </w:r>
    </w:p>
    <w:p>
      <w:pPr>
        <w:pStyle w:val="Heading2"/>
        <w:ind w:hanging="0" w:start="0"/>
        <w:rPr/>
      </w:pPr>
      <w:r>
        <w:rPr/>
        <w:t>Reliability Data, Methods, and Modeling Subcommittee – Charter</w:t>
      </w:r>
    </w:p>
    <w:p>
      <w:pPr>
        <w:pStyle w:val="Header"/>
        <w:tabs>
          <w:tab w:val="clear" w:pos="4320"/>
          <w:tab w:val="clear" w:pos="8640"/>
        </w:tabs>
        <w:rPr/>
      </w:pPr>
      <w:r>
        <w:rPr/>
        <w:t>Data collection and system modeling for reliability assessments. Tools and procedures for evaluating the reliability of interconnected bulk electric systems. – Discussion – Focus is tools development and NOT the reliability assessments.</w:t>
      </w:r>
    </w:p>
    <w:p>
      <w:pPr>
        <w:pStyle w:val="Heading2"/>
        <w:ind w:hanging="0" w:start="0"/>
        <w:rPr/>
      </w:pPr>
      <w:r>
        <w:rPr/>
        <w:t>Compliance Assessment –Filed Tests</w:t>
      </w:r>
    </w:p>
    <w:p>
      <w:pPr>
        <w:pStyle w:val="Header"/>
        <w:tabs>
          <w:tab w:val="clear" w:pos="4320"/>
          <w:tab w:val="clear" w:pos="8640"/>
        </w:tabs>
        <w:rPr/>
      </w:pPr>
      <w:r>
        <w:rPr/>
        <w:t>Harlow Peterson – Covered results of standard compliance - High level of non-compliance during the field test.  Assessment is that these are relatively minor – not technical issues. These Standards have not yet been approved, undergoing tests.</w:t>
      </w:r>
    </w:p>
    <w:p>
      <w:pPr>
        <w:pStyle w:val="Header"/>
        <w:tabs>
          <w:tab w:val="clear" w:pos="4320"/>
          <w:tab w:val="clear" w:pos="8640"/>
        </w:tabs>
        <w:rPr/>
      </w:pPr>
      <w:r>
        <w:rPr/>
      </w:r>
    </w:p>
    <w:p>
      <w:pPr>
        <w:pStyle w:val="Header"/>
        <w:tabs>
          <w:tab w:val="clear" w:pos="4320"/>
          <w:tab w:val="clear" w:pos="8640"/>
        </w:tabs>
        <w:rPr/>
      </w:pPr>
      <w:r>
        <w:rPr/>
        <w:t xml:space="preserve">No new standards being tested. Tests involve 18 “planning standard measures”. </w:t>
      </w:r>
    </w:p>
    <w:p>
      <w:pPr>
        <w:pStyle w:val="Header"/>
        <w:tabs>
          <w:tab w:val="clear" w:pos="4320"/>
          <w:tab w:val="clear" w:pos="8640"/>
        </w:tabs>
        <w:rPr/>
      </w:pPr>
      <w:r>
        <w:rPr/>
      </w:r>
    </w:p>
    <w:p>
      <w:pPr>
        <w:pStyle w:val="Header"/>
        <w:tabs>
          <w:tab w:val="clear" w:pos="4320"/>
          <w:tab w:val="clear" w:pos="8640"/>
        </w:tabs>
        <w:rPr/>
      </w:pPr>
      <w:r>
        <w:rPr/>
        <w:t xml:space="preserve">Comment- IPPs complaints that the Standards did not considered </w:t>
      </w:r>
      <w:r>
        <w:rPr>
          <w:u w:val="single"/>
        </w:rPr>
        <w:t xml:space="preserve">their </w:t>
      </w:r>
      <w:r>
        <w:rPr/>
        <w:t>reality. A “generation” task force is to be organized to gather that input.</w:t>
      </w:r>
    </w:p>
    <w:p>
      <w:pPr>
        <w:pStyle w:val="Header"/>
        <w:tabs>
          <w:tab w:val="clear" w:pos="4320"/>
          <w:tab w:val="clear" w:pos="8640"/>
        </w:tabs>
        <w:ind w:start="720" w:end="0"/>
        <w:rPr/>
      </w:pPr>
      <w:r>
        <w:rPr/>
      </w:r>
    </w:p>
    <w:p>
      <w:pPr>
        <w:pStyle w:val="Header"/>
        <w:tabs>
          <w:tab w:val="clear" w:pos="4320"/>
          <w:tab w:val="clear" w:pos="8640"/>
        </w:tabs>
        <w:rPr>
          <w:i/>
          <w:i/>
          <w:iCs/>
          <w:u w:val="single"/>
        </w:rPr>
      </w:pPr>
      <w:r>
        <w:rPr>
          <w:i/>
          <w:iCs/>
          <w:u w:val="single"/>
        </w:rPr>
        <w:t>Observation – the was a feeling of a “void”- what is the group goals for 2002?”</w:t>
      </w:r>
    </w:p>
    <w:p>
      <w:pPr>
        <w:pStyle w:val="Heading2"/>
        <w:ind w:hanging="0" w:start="0"/>
        <w:rPr/>
      </w:pPr>
      <w:r>
        <w:rPr/>
        <w:t>Releasing Dynamic Data</w:t>
      </w:r>
    </w:p>
    <w:p>
      <w:pPr>
        <w:pStyle w:val="Header"/>
        <w:tabs>
          <w:tab w:val="clear" w:pos="4320"/>
          <w:tab w:val="clear" w:pos="8640"/>
        </w:tabs>
        <w:rPr/>
      </w:pPr>
      <w:r>
        <w:rPr/>
        <w:t>Motion passed.- Third parties need to agree to confidentiality agreement.</w:t>
      </w:r>
    </w:p>
    <w:p>
      <w:pPr>
        <w:pStyle w:val="Heading2"/>
        <w:ind w:hanging="0" w:start="0"/>
        <w:rPr/>
      </w:pPr>
      <w:r>
        <w:rPr/>
        <w:t>NERC Project Management – presentation</w:t>
      </w:r>
    </w:p>
    <w:p>
      <w:pPr>
        <w:pStyle w:val="Normal"/>
        <w:rPr/>
      </w:pPr>
      <w:r>
        <w:rPr/>
        <w:t>How to keep better tract of status of projects, standard development, etc.</w:t>
      </w:r>
    </w:p>
    <w:p>
      <w:pPr>
        <w:pStyle w:val="Header"/>
        <w:tabs>
          <w:tab w:val="clear" w:pos="4320"/>
          <w:tab w:val="clear" w:pos="8640"/>
        </w:tabs>
        <w:rPr/>
      </w:pPr>
      <w:r>
        <w:rPr/>
      </w:r>
    </w:p>
    <w:p>
      <w:pPr>
        <w:pStyle w:val="Header"/>
        <w:tabs>
          <w:tab w:val="clear" w:pos="4320"/>
          <w:tab w:val="clear" w:pos="8640"/>
        </w:tabs>
        <w:jc w:val="center"/>
        <w:rPr>
          <w:rFonts w:cs="Arial"/>
          <w:b/>
          <w:bCs/>
          <w:kern w:val="2"/>
          <w:sz w:val="26"/>
          <w:szCs w:val="32"/>
        </w:rPr>
      </w:pPr>
      <w:r>
        <w:rPr>
          <w:rFonts w:cs="Arial"/>
          <w:b/>
          <w:bCs/>
          <w:kern w:val="2"/>
          <w:sz w:val="26"/>
          <w:szCs w:val="32"/>
        </w:rPr>
        <w:t>OPERATIONS COMMITTEE</w:t>
      </w:r>
    </w:p>
    <w:p>
      <w:pPr>
        <w:pStyle w:val="Heading2"/>
        <w:ind w:hanging="0" w:start="0"/>
        <w:rPr/>
      </w:pPr>
      <w:r>
        <w:rPr/>
        <w:t>Standards development</w:t>
      </w:r>
    </w:p>
    <w:p>
      <w:pPr>
        <w:pStyle w:val="Header"/>
        <w:tabs>
          <w:tab w:val="clear" w:pos="4320"/>
          <w:tab w:val="clear" w:pos="8640"/>
        </w:tabs>
        <w:rPr/>
      </w:pPr>
      <w:r>
        <w:rPr/>
        <w:t>What happens to the present standards? What happens to standards being developed?</w:t>
      </w:r>
    </w:p>
    <w:p>
      <w:pPr>
        <w:pStyle w:val="Heading2"/>
        <w:ind w:hanging="0" w:start="0"/>
        <w:rPr/>
      </w:pPr>
      <w:r>
        <w:rPr/>
        <w:t>EVALUATIONS</w:t>
      </w:r>
    </w:p>
    <w:p>
      <w:pPr>
        <w:pStyle w:val="Header"/>
        <w:tabs>
          <w:tab w:val="clear" w:pos="4320"/>
          <w:tab w:val="clear" w:pos="8640"/>
        </w:tabs>
        <w:rPr/>
      </w:pPr>
      <w:r>
        <w:rPr/>
        <w:t>Regions are responsible by default – until a ruling is made to shift it to the RTOs</w:t>
      </w:r>
    </w:p>
    <w:p>
      <w:pPr>
        <w:pStyle w:val="Header"/>
        <w:tabs>
          <w:tab w:val="clear" w:pos="4320"/>
          <w:tab w:val="clear" w:pos="8640"/>
        </w:tabs>
        <w:rPr/>
      </w:pPr>
      <w:r>
        <w:rPr/>
        <w:t>Regions held accountable for Security Coordination Plan. Example Region A endorsed the MISO plan to make sure that their members were covered somewhere. They did not “approve” the plan</w:t>
      </w:r>
    </w:p>
    <w:p>
      <w:pPr>
        <w:pStyle w:val="Header"/>
        <w:tabs>
          <w:tab w:val="clear" w:pos="4320"/>
          <w:tab w:val="clear" w:pos="8640"/>
        </w:tabs>
        <w:rPr/>
      </w:pPr>
      <w:r>
        <w:rPr/>
        <w:t>ECAR required some RTOs to modify their plan to include regional concerns.</w:t>
      </w:r>
    </w:p>
    <w:p>
      <w:pPr>
        <w:pStyle w:val="Heading2"/>
        <w:ind w:hanging="0" w:start="0"/>
        <w:rPr/>
      </w:pPr>
      <w:r>
        <w:rPr/>
        <w:t>Inadvertent Compensation Standard</w:t>
      </w:r>
    </w:p>
    <w:p>
      <w:pPr>
        <w:pStyle w:val="Header"/>
        <w:tabs>
          <w:tab w:val="clear" w:pos="4320"/>
          <w:tab w:val="clear" w:pos="8640"/>
        </w:tabs>
        <w:rPr/>
      </w:pPr>
      <w:r>
        <w:rPr/>
        <w:t>Project status - investigations to clarify the measurement formula ACE and payback methods.</w:t>
      </w:r>
    </w:p>
    <w:p>
      <w:pPr>
        <w:pStyle w:val="Heading2"/>
        <w:ind w:hanging="0" w:start="0"/>
        <w:rPr/>
      </w:pPr>
      <w:r>
        <w:rPr/>
        <w:t>Waiver- “RTO Scheduling Agent”</w:t>
      </w:r>
    </w:p>
    <w:p>
      <w:pPr>
        <w:pStyle w:val="Header"/>
        <w:tabs>
          <w:tab w:val="clear" w:pos="4320"/>
          <w:tab w:val="clear" w:pos="8640"/>
        </w:tabs>
        <w:rPr/>
      </w:pPr>
      <w:r>
        <w:rPr/>
        <w:t>A proposal to allow RTOs act as scheduling agent was passed. Within a year, rules are expected to have been developed and the waiver will not be needed.</w:t>
      </w:r>
    </w:p>
    <w:p>
      <w:pPr>
        <w:pStyle w:val="Header"/>
        <w:tabs>
          <w:tab w:val="clear" w:pos="4320"/>
          <w:tab w:val="clear" w:pos="8640"/>
        </w:tabs>
        <w:rPr/>
      </w:pPr>
      <w:r>
        <w:rPr/>
      </w:r>
    </w:p>
    <w:p>
      <w:pPr>
        <w:pStyle w:val="Header"/>
        <w:tabs>
          <w:tab w:val="clear" w:pos="4320"/>
          <w:tab w:val="clear" w:pos="8640"/>
        </w:tabs>
        <w:rPr/>
      </w:pPr>
      <w:r>
        <w:rPr/>
        <w:t>Dick Ingersol argued that other organizations should also be given the same latitude. His request to expand the definition was not accepted. He was asked to introduce a waiver, if he wanted to pursue it.</w:t>
      </w:r>
    </w:p>
    <w:p>
      <w:pPr>
        <w:pStyle w:val="Heading2"/>
        <w:ind w:hanging="0" w:start="0"/>
        <w:rPr/>
      </w:pPr>
      <w:r>
        <w:rPr/>
        <w:t>Waiver “Financial Inadvertent Settlement</w:t>
      </w:r>
    </w:p>
    <w:p>
      <w:pPr>
        <w:pStyle w:val="Header"/>
        <w:tabs>
          <w:tab w:val="clear" w:pos="4320"/>
          <w:tab w:val="clear" w:pos="8640"/>
        </w:tabs>
        <w:rPr/>
      </w:pPr>
      <w:r>
        <w:rPr/>
        <w:t>This involves an internal settlement of the positions of several control areas within a larger control area. No reliability issues involved. This was passed. No dissent.</w:t>
      </w:r>
    </w:p>
    <w:p>
      <w:pPr>
        <w:pStyle w:val="Header"/>
        <w:tabs>
          <w:tab w:val="clear" w:pos="4320"/>
          <w:tab w:val="clear" w:pos="8640"/>
        </w:tabs>
        <w:rPr/>
      </w:pPr>
      <w:r>
        <w:rPr/>
      </w:r>
    </w:p>
    <w:p>
      <w:pPr>
        <w:pStyle w:val="Header"/>
        <w:tabs>
          <w:tab w:val="clear" w:pos="4320"/>
          <w:tab w:val="clear" w:pos="8640"/>
        </w:tabs>
        <w:ind w:start="720" w:end="0"/>
        <w:rPr>
          <w:i/>
          <w:i/>
          <w:iCs/>
          <w:u w:val="single"/>
        </w:rPr>
      </w:pPr>
      <w:r>
        <w:rPr>
          <w:i/>
          <w:iCs/>
          <w:u w:val="single"/>
        </w:rPr>
        <w:t>Needs further follow up for Enron impact.</w:t>
      </w:r>
    </w:p>
    <w:p>
      <w:pPr>
        <w:pStyle w:val="Heading2"/>
        <w:ind w:hanging="0" w:start="0"/>
        <w:rPr/>
      </w:pPr>
      <w:r>
        <w:rPr/>
        <w:t>Policy 3-Version 5 and E tag Version 1.7</w:t>
      </w:r>
    </w:p>
    <w:p>
      <w:pPr>
        <w:pStyle w:val="Normal"/>
        <w:rPr/>
      </w:pPr>
      <w:r>
        <w:rPr/>
        <w:t>The required policy modifications were approved.</w:t>
      </w:r>
    </w:p>
    <w:p>
      <w:pPr>
        <w:pStyle w:val="Heading2"/>
        <w:ind w:hanging="0" w:start="0"/>
        <w:rPr/>
      </w:pPr>
      <w:r>
        <w:rPr/>
        <w:t>Control Area Certification Procedures</w:t>
      </w:r>
    </w:p>
    <w:p>
      <w:pPr>
        <w:pStyle w:val="Header"/>
        <w:tabs>
          <w:tab w:val="clear" w:pos="4320"/>
          <w:tab w:val="clear" w:pos="8640"/>
        </w:tabs>
        <w:rPr/>
      </w:pPr>
      <w:r>
        <w:rPr/>
        <w:t>An Appendix of information to be provided to NERC for handling.</w:t>
      </w:r>
    </w:p>
    <w:p>
      <w:pPr>
        <w:pStyle w:val="Heading2"/>
        <w:ind w:hanging="0" w:start="0"/>
        <w:rPr/>
      </w:pPr>
      <w:r>
        <w:rPr/>
        <w:t>System Operators Certification</w:t>
      </w:r>
    </w:p>
    <w:p>
      <w:pPr>
        <w:pStyle w:val="Header"/>
        <w:tabs>
          <w:tab w:val="clear" w:pos="4320"/>
          <w:tab w:val="clear" w:pos="8640"/>
        </w:tabs>
        <w:rPr/>
      </w:pPr>
      <w:r>
        <w:rPr/>
        <w:t>Four different certification exams (different scope) are being developed.</w:t>
      </w:r>
    </w:p>
    <w:p>
      <w:pPr>
        <w:pStyle w:val="Heading2"/>
        <w:ind w:hanging="0" w:start="0"/>
        <w:rPr/>
      </w:pPr>
      <w:r>
        <w:rPr/>
        <w:t>Software development</w:t>
      </w:r>
    </w:p>
    <w:p>
      <w:pPr>
        <w:pStyle w:val="Header"/>
        <w:tabs>
          <w:tab w:val="clear" w:pos="4320"/>
          <w:tab w:val="clear" w:pos="8640"/>
        </w:tabs>
        <w:rPr/>
      </w:pPr>
      <w:r>
        <w:rPr/>
        <w:t>Status of FIST. Possible improvements in reservation process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3">
    <w:charset w:val="0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t>Jose Bestard</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t>Date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 xml:space="preserve">Notes/Highlights – NERC Meetings – Orlando – Nov 14-16 </w:t>
    </w:r>
  </w:p>
  <w:p>
    <w:pPr>
      <w:pStyle w:val="Header"/>
      <w:pBdr>
        <w:bottom w:val="single" w:sz="4" w:space="1" w:color="000000"/>
      </w:pBdr>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Wingdings 3" w:hAnsi="Wingdings 3" w:cs="Wingdings 3"/>
      <w:sz w:val="24"/>
    </w:rPr>
  </w:style>
  <w:style w:type="character" w:styleId="WW8NumSt2z0">
    <w:name w:val="WW8NumSt2z0"/>
    <w:qFormat/>
    <w:rPr>
      <w:rFonts w:ascii="Wingdings 3" w:hAnsi="Wingdings 3" w:cs="Wingdings 3"/>
      <w:sz w:val="20"/>
    </w:rPr>
  </w:style>
  <w:style w:type="character" w:styleId="WW8NumSt3z0">
    <w:name w:val="WW8NumSt3z0"/>
    <w:qFormat/>
    <w:rPr>
      <w:rFonts w:ascii="Wingdings" w:hAnsi="Wingdings" w:cs="Wingdings"/>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JB Report template.dot</Template>
  <TotalTime>776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2001-11-15T12:02:00Z</dcterms:created>
  <dc:creator>jbestar</dc:creator>
  <dc:description/>
  <dc:language>en-CA</dc:language>
  <cp:lastModifiedBy>jbestar</cp:lastModifiedBy>
  <cp:lastPrinted>2001-11-20T11:35:00Z</cp:lastPrinted>
  <dcterms:modified xsi:type="dcterms:W3CDTF">2001-11-20T15:23:00Z</dcterms:modified>
  <cp:revision>63</cp:revision>
  <dc:subject/>
  <dc:title>Resource adequacy – presentation</dc:title>
</cp:coreProperties>
</file>