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5.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
        <w:spacing w:before="0" w:after="360"/>
        <w:ind w:hanging="0" w:end="0"/>
        <w:jc w:val="center"/>
        <w:rPr>
          <w:sz w:val="28"/>
          <w:szCs w:val="28"/>
        </w:rPr>
      </w:pPr>
      <w:r>
        <w:rPr>
          <w:sz w:val="28"/>
          <w:szCs w:val="28"/>
        </w:rPr>
        <w:t>Court of Appeals Case No. 01-15449</w:t>
      </w:r>
    </w:p>
    <w:p>
      <w:pPr>
        <w:pStyle w:val="Text"/>
        <w:spacing w:before="120" w:after="280"/>
        <w:ind w:hanging="0" w:end="0"/>
        <w:jc w:val="center"/>
        <w:rPr>
          <w:b/>
          <w:bCs/>
          <w:caps/>
          <w:sz w:val="28"/>
          <w:szCs w:val="28"/>
        </w:rPr>
      </w:pPr>
      <w:r>
        <w:rPr>
          <w:b/>
          <w:bCs/>
          <w:caps/>
          <w:sz w:val="28"/>
          <w:szCs w:val="28"/>
        </w:rPr>
        <w:t>United States Court Of Appeals</w:t>
      </w:r>
    </w:p>
    <w:p>
      <w:pPr>
        <w:pStyle w:val="Text"/>
        <w:spacing w:before="240" w:after="280"/>
        <w:ind w:hanging="0" w:end="0"/>
        <w:jc w:val="center"/>
        <w:rPr/>
      </w:pPr>
      <w:r>
        <w:rPr>
          <w:b/>
          <w:bCs/>
          <w:caps/>
          <w:sz w:val="28"/>
          <w:szCs w:val="28"/>
        </w:rPr>
        <w:t>For The</w:t>
      </w:r>
      <w:r>
        <w:rPr>
          <w:b/>
          <w:bCs/>
          <w:i/>
          <w:iCs/>
          <w:caps/>
          <w:sz w:val="28"/>
          <w:szCs w:val="28"/>
        </w:rPr>
        <w:t xml:space="preserve"> </w:t>
      </w:r>
      <w:r>
        <w:rPr>
          <w:b/>
          <w:bCs/>
          <w:caps/>
          <w:sz w:val="28"/>
          <w:szCs w:val="28"/>
        </w:rPr>
        <w:t>Ninth Circuit</w:t>
      </w:r>
    </w:p>
    <w:p>
      <w:pPr>
        <w:pStyle w:val="Text"/>
        <w:spacing w:before="240" w:after="360"/>
        <w:ind w:hanging="0" w:end="0"/>
        <w:jc w:val="center"/>
        <w:rPr/>
      </w:pPr>
      <w:r>
        <w:rPr/>
        <w:t>TRANSMISSION AGENCY OF NORTHERN CALIFORNIA,</w:t>
      </w:r>
    </w:p>
    <w:p>
      <w:pPr>
        <w:pStyle w:val="Text"/>
        <w:spacing w:before="120" w:after="280"/>
        <w:ind w:hanging="0" w:end="0"/>
        <w:jc w:val="center"/>
        <w:rPr>
          <w:sz w:val="28"/>
          <w:szCs w:val="28"/>
        </w:rPr>
      </w:pPr>
      <w:r>
        <w:rPr>
          <w:i/>
          <w:iCs/>
        </w:rPr>
        <w:t>Plaintiff –Appellant,</w:t>
      </w:r>
    </w:p>
    <w:p>
      <w:pPr>
        <w:pStyle w:val="Text"/>
        <w:spacing w:before="120" w:after="280"/>
        <w:ind w:hanging="0" w:end="0"/>
        <w:jc w:val="center"/>
        <w:rPr>
          <w:i/>
          <w:i/>
          <w:iCs/>
        </w:rPr>
      </w:pPr>
      <w:r>
        <w:rPr>
          <w:i/>
          <w:iCs/>
        </w:rPr>
        <w:t>versus</w:t>
      </w:r>
    </w:p>
    <w:p>
      <w:pPr>
        <w:pStyle w:val="FacePage"/>
        <w:widowControl/>
        <w:spacing w:before="0" w:after="3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SIERRA PACIFIC POWER COMPANY, BONNEVILLE POWER</w:t>
      </w:r>
    </w:p>
    <w:p>
      <w:pPr>
        <w:pStyle w:val="FacePage"/>
        <w:widowControl/>
        <w:spacing w:before="0" w:after="3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ADMINISTRATION, PACIFICORP, PORTLAND GENERAL ELECTRIC COMPANY</w:t>
      </w:r>
    </w:p>
    <w:p>
      <w:pPr>
        <w:pStyle w:val="FacePage"/>
        <w:widowControl/>
        <w:spacing w:before="0" w:after="360"/>
        <w:jc w:val="center"/>
        <w:rPr>
          <w:sz w:val="28"/>
          <w:szCs w:val="28"/>
        </w:rPr>
      </w:pPr>
      <w:r>
        <w:rPr>
          <w:i/>
          <w:iCs/>
        </w:rPr>
        <w:t>Defendants - Appellees</w:t>
      </w:r>
      <w:r>
        <w:rPr/>
        <w:t>.</w:t>
      </w:r>
    </w:p>
    <w:p>
      <w:pPr>
        <w:pStyle w:val="Text"/>
        <w:pBdr>
          <w:bottom w:val="single" w:sz="12" w:space="1" w:color="000000"/>
        </w:pBdr>
        <w:ind w:hanging="0" w:end="0"/>
        <w:jc w:val="center"/>
        <w:rPr>
          <w:b/>
          <w:bCs/>
          <w:sz w:val="28"/>
          <w:szCs w:val="28"/>
        </w:rPr>
      </w:pPr>
      <w:r>
        <w:rPr>
          <w:b/>
          <w:bCs/>
          <w:sz w:val="28"/>
          <w:szCs w:val="28"/>
        </w:rPr>
      </w:r>
    </w:p>
    <w:p>
      <w:pPr>
        <w:pStyle w:val="Text"/>
        <w:spacing w:before="240" w:after="120"/>
        <w:ind w:hanging="0" w:end="0"/>
        <w:jc w:val="center"/>
        <w:rPr>
          <w:sz w:val="28"/>
          <w:szCs w:val="28"/>
        </w:rPr>
      </w:pPr>
      <w:r>
        <w:rPr>
          <w:sz w:val="28"/>
          <w:szCs w:val="28"/>
        </w:rPr>
        <w:t>Appeal from a Judgment of the</w:t>
        <w:br/>
        <w:t>United States District Court for the Eastern District of California,</w:t>
        <w:br/>
        <w:t>Case No, CIV S-00-1081 WBS DAD</w:t>
        <w:br/>
        <w:t>Honorable William B. Shubb, United States District Judge</w:t>
      </w:r>
    </w:p>
    <w:p>
      <w:pPr>
        <w:pStyle w:val="Text"/>
        <w:pBdr>
          <w:bottom w:val="single" w:sz="12" w:space="1" w:color="000000"/>
        </w:pBdr>
        <w:spacing w:before="280" w:after="120"/>
        <w:ind w:hanging="0" w:end="0"/>
        <w:jc w:val="center"/>
        <w:rPr>
          <w:b/>
          <w:bCs/>
          <w:sz w:val="28"/>
          <w:szCs w:val="28"/>
        </w:rPr>
      </w:pPr>
      <w:r>
        <w:rPr>
          <w:b/>
          <w:bCs/>
          <w:sz w:val="28"/>
          <w:szCs w:val="28"/>
        </w:rPr>
      </w:r>
    </w:p>
    <w:p>
      <w:pPr>
        <w:pStyle w:val="Text"/>
        <w:spacing w:before="280" w:after="120"/>
        <w:ind w:hanging="0" w:end="0"/>
        <w:jc w:val="center"/>
        <w:rPr>
          <w:sz w:val="28"/>
          <w:szCs w:val="28"/>
        </w:rPr>
      </w:pPr>
      <w:r>
        <w:rPr>
          <w:b/>
          <w:bCs/>
          <w:sz w:val="28"/>
          <w:szCs w:val="28"/>
        </w:rPr>
        <w:t>APPELLEE SIERRA PACIFIC POWER COMPANY’S BRIEF</w:t>
      </w:r>
    </w:p>
    <w:p>
      <w:pPr>
        <w:pStyle w:val="FacePage"/>
        <w:widowControl/>
        <w:pBdr>
          <w:bottom w:val="single" w:sz="12" w:space="1" w:color="000000"/>
        </w:pBdr>
        <w:tabs>
          <w:tab w:val="clear" w:pos="720"/>
          <w:tab w:val="left" w:pos="5040" w:leader="none"/>
        </w:tabs>
        <w:spacing w:before="0" w:after="1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FacePage"/>
        <w:widowControl/>
        <w:tabs>
          <w:tab w:val="clear" w:pos="720"/>
          <w:tab w:val="left" w:pos="5040" w:leader="none"/>
        </w:tabs>
        <w:spacing w:before="0" w:after="240"/>
        <w:rPr/>
      </w:pPr>
      <w:r>
        <w:rPr>
          <w:rFonts w:eastAsia="Times New Roman" w:cs="Times New Roman" w:ascii="Times New Roman" w:hAnsi="Times New Roman"/>
          <w:sz w:val="24"/>
          <w:szCs w:val="24"/>
        </w:rPr>
        <w:t>JOHN A. STURGEON</w:t>
        <w:tab/>
        <w:t>JOCELYN A. AQUA</w:t>
        <w:br/>
        <w:t>AALOK SHARMA</w:t>
        <w:tab/>
        <w:t>WHITE &amp; CASE LLP</w:t>
        <w:br/>
        <w:t>WHITE &amp; CASE LLP</w:t>
        <w:tab/>
        <w:t>601 13</w:t>
      </w:r>
      <w:r>
        <w:rPr>
          <w:rFonts w:eastAsia="Times New Roman" w:cs="Times New Roman" w:ascii="Times New Roman" w:hAnsi="Times New Roman"/>
          <w:sz w:val="24"/>
          <w:szCs w:val="24"/>
          <w:vertAlign w:val="superscript"/>
        </w:rPr>
        <w:t>th</w:t>
      </w:r>
      <w:r>
        <w:rPr>
          <w:rFonts w:eastAsia="Times New Roman" w:cs="Times New Roman" w:ascii="Times New Roman" w:hAnsi="Times New Roman"/>
          <w:sz w:val="24"/>
          <w:szCs w:val="24"/>
        </w:rPr>
        <w:t xml:space="preserve"> Street, N.W. Suite 600</w:t>
        <w:br/>
        <w:t>633 West Fifth Street, Suite 1900</w:t>
        <w:tab/>
        <w:t>Washington, DC  20005</w:t>
        <w:br/>
        <w:t>Los Angeles, California 90071-2007</w:t>
        <w:tab/>
        <w:t>Telephone: (202) 626-3600</w:t>
        <w:br/>
        <w:t>Telephone: (213) 620-7700</w:t>
        <w:tab/>
        <w:t>Facsimile: (202) 639-9355</w:t>
        <w:br/>
        <w:t>Facsimile: (213) 687-0758</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sectPr>
        <w:pStyle w:val="FacePage"/>
        <w:widowControl/>
        <w:ind w:end="144"/>
        <w:jc w:val="center"/>
        <w:rPr>
          <w:i/>
          <w:i/>
          <w:iCs/>
          <w:sz w:val="28"/>
          <w:szCs w:val="28"/>
        </w:rPr>
      </w:pPr>
      <w:r>
        <w:rPr>
          <w:rFonts w:eastAsia="Times New Roman" w:cs="Times New Roman" w:ascii="Times New Roman" w:hAnsi="Times New Roman"/>
          <w:i/>
          <w:iCs/>
          <w:sz w:val="24"/>
          <w:szCs w:val="24"/>
        </w:rPr>
        <w:t>Attorneys for Defendant-Appellee</w:t>
        <w:br/>
        <w:t>Sierra Pacific Power Company</w:t>
      </w:r>
    </w:p>
    <w:p>
      <w:pPr>
        <w:pStyle w:val="Text"/>
        <w:spacing w:lineRule="auto" w:line="480"/>
        <w:ind w:hanging="0" w:end="0"/>
        <w:jc w:val="center"/>
        <w:rPr>
          <w:smallCaps/>
          <w:sz w:val="28"/>
          <w:szCs w:val="28"/>
          <w:u w:val="single"/>
        </w:rPr>
      </w:pPr>
      <w:bookmarkStart w:id="0" w:name="StartText"/>
      <w:bookmarkStart w:id="1" w:name="CaseNo"/>
      <w:bookmarkStart w:id="2" w:name="RightBorder"/>
      <w:bookmarkStart w:id="3" w:name="Captions"/>
      <w:bookmarkEnd w:id="0"/>
      <w:bookmarkEnd w:id="1"/>
      <w:bookmarkEnd w:id="2"/>
      <w:bookmarkEnd w:id="3"/>
      <w:r>
        <w:rPr>
          <w:smallCaps/>
          <w:sz w:val="28"/>
          <w:szCs w:val="28"/>
          <w:u w:val="single"/>
        </w:rPr>
        <w:t>Corporate Disclosure Statement</w:t>
      </w:r>
    </w:p>
    <w:p>
      <w:pPr>
        <w:sectPr>
          <w:headerReference w:type="default" r:id="rId4"/>
          <w:headerReference w:type="first" r:id="rId5"/>
          <w:footerReference w:type="default" r:id="rId6"/>
          <w:footerReference w:type="first" r:id="rId7"/>
          <w:type w:val="nextPage"/>
          <w:pgSz w:w="12240" w:h="15840"/>
          <w:pgMar w:left="1440" w:right="1440" w:gutter="0" w:header="706" w:top="1440" w:footer="850" w:bottom="1440"/>
          <w:pgNumType w:start="1" w:fmt="lowerRoman"/>
          <w:formProt w:val="false"/>
          <w:titlePg/>
          <w:textDirection w:val="lrTb"/>
        </w:sectPr>
        <w:pStyle w:val="Text"/>
        <w:spacing w:lineRule="auto" w:line="480"/>
        <w:ind w:hanging="0" w:end="0"/>
        <w:rPr>
          <w:smallCaps/>
          <w:sz w:val="28"/>
          <w:szCs w:val="28"/>
          <w:u w:val="single"/>
        </w:rPr>
      </w:pPr>
      <w:r>
        <w:rPr>
          <w:sz w:val="28"/>
          <w:szCs w:val="28"/>
        </w:rPr>
        <w:t>[insert - Ruta]</w:t>
      </w:r>
    </w:p>
    <w:p>
      <w:pPr>
        <w:pStyle w:val="Text"/>
        <w:spacing w:lineRule="auto" w:line="480"/>
        <w:ind w:hanging="0" w:end="0"/>
        <w:jc w:val="center"/>
        <w:rPr>
          <w:smallCaps/>
          <w:sz w:val="28"/>
          <w:szCs w:val="28"/>
          <w:u w:val="single"/>
        </w:rPr>
      </w:pPr>
      <w:r>
        <w:rPr>
          <w:smallCaps/>
          <w:sz w:val="28"/>
          <w:szCs w:val="28"/>
          <w:u w:val="single"/>
        </w:rPr>
        <w:t>Table of Contents</w:t>
      </w:r>
    </w:p>
    <w:p>
      <w:pPr>
        <w:pStyle w:val="Text"/>
        <w:spacing w:lineRule="auto" w:line="480"/>
        <w:ind w:hanging="0" w:end="0"/>
        <w:jc w:val="end"/>
        <w:rPr>
          <w:smallCaps/>
          <w:sz w:val="28"/>
          <w:szCs w:val="28"/>
          <w:u w:val="single"/>
        </w:rPr>
      </w:pPr>
      <w:r>
        <w:rPr>
          <w:smallCaps/>
          <w:sz w:val="28"/>
          <w:szCs w:val="28"/>
          <w:u w:val="single"/>
        </w:rPr>
        <w:t>Page(s)</w:t>
      </w:r>
    </w:p>
    <w:p>
      <w:pPr>
        <w:pStyle w:val="TOC1"/>
        <w:rPr/>
      </w:pPr>
      <w:r>
        <w:rPr>
          <w:smallCaps/>
          <w:sz w:val="28"/>
          <w:szCs w:val="28"/>
        </w:rPr>
        <w:t>Corporate Disclosure Statement</w:t>
      </w:r>
      <w:r>
        <w:rPr>
          <w:sz w:val="28"/>
          <w:szCs w:val="28"/>
        </w:rPr>
        <w:tab/>
        <w:t>i</w:t>
      </w:r>
    </w:p>
    <w:p>
      <w:pPr>
        <w:pStyle w:val="TOC1"/>
        <w:rPr/>
      </w:pPr>
      <w:r>
        <w:rPr>
          <w:smallCaps/>
          <w:sz w:val="28"/>
          <w:szCs w:val="28"/>
        </w:rPr>
        <w:t>Table of Authorities</w:t>
      </w:r>
      <w:r>
        <w:rPr>
          <w:sz w:val="28"/>
          <w:szCs w:val="28"/>
        </w:rPr>
        <w:tab/>
        <w:t>iv</w:t>
      </w:r>
    </w:p>
    <w:p>
      <w:pPr>
        <w:pStyle w:val="TOC1"/>
        <w:rPr/>
      </w:pPr>
      <w:r>
        <w:rPr>
          <w:sz w:val="28"/>
          <w:szCs w:val="28"/>
        </w:rPr>
        <w:fldChar w:fldCharType="begin"/>
      </w:r>
      <w:r>
        <w:rPr>
          <w:sz w:val="28"/>
          <w:szCs w:val="28"/>
        </w:rPr>
        <w:instrText xml:space="preserve"> REF WCTOCLevel1Mark3in1BGZ04 \h </w:instrText>
      </w:r>
      <w:r>
        <w:rPr>
          <w:sz w:val="28"/>
          <w:szCs w:val="28"/>
        </w:rPr>
        <w:fldChar w:fldCharType="separate"/>
      </w:r>
      <w:r>
        <w:rPr>
          <w:sz w:val="28"/>
          <w:szCs w:val="28"/>
        </w:rPr>
        <w:t>I. INTRODUCTION</w:t>
      </w:r>
      <w:r>
        <w:rPr>
          <w:sz w:val="28"/>
          <w:szCs w:val="28"/>
        </w:rPr>
        <w:fldChar w:fldCharType="end"/>
      </w:r>
      <w:r>
        <w:rPr/>
        <w:tab/>
      </w:r>
      <w:r>
        <w:rPr/>
        <w:fldChar w:fldCharType="begin"/>
      </w:r>
      <w:r>
        <w:rPr/>
        <w:instrText xml:space="preserve"> PAGEREF WCTOCLevel1Mark3in1BGZ04 \h </w:instrText>
      </w:r>
      <w:r>
        <w:rPr/>
        <w:fldChar w:fldCharType="separate"/>
      </w:r>
      <w:r>
        <w:rPr/>
        <w:t>1</w:t>
      </w:r>
      <w:r>
        <w:rPr/>
        <w:fldChar w:fldCharType="end"/>
      </w:r>
    </w:p>
    <w:p>
      <w:pPr>
        <w:pStyle w:val="TOC1"/>
        <w:rPr/>
      </w:pPr>
      <w:r>
        <w:rPr/>
        <w:fldChar w:fldCharType="begin"/>
      </w:r>
      <w:r>
        <w:rPr/>
        <w:instrText xml:space="preserve"> REF WCTOCLevel1Mark4in1BGZ04 \h </w:instrText>
      </w:r>
      <w:r>
        <w:rPr/>
        <w:fldChar w:fldCharType="separate"/>
      </w:r>
      <w:r>
        <w:rPr/>
        <w:t>II. STATEMENT OF JURISDICTION</w:t>
      </w:r>
      <w:r>
        <w:rPr/>
        <w:fldChar w:fldCharType="end"/>
      </w:r>
      <w:r>
        <w:rPr/>
        <w:tab/>
      </w:r>
      <w:r>
        <w:rPr/>
        <w:fldChar w:fldCharType="begin"/>
      </w:r>
      <w:r>
        <w:rPr/>
        <w:instrText xml:space="preserve"> PAGEREF WCTOCLevel1Mark4in1BGZ04 \h </w:instrText>
      </w:r>
      <w:r>
        <w:rPr/>
        <w:fldChar w:fldCharType="separate"/>
      </w:r>
      <w:r>
        <w:rPr/>
        <w:t>2</w:t>
      </w:r>
      <w:r>
        <w:rPr/>
        <w:fldChar w:fldCharType="end"/>
      </w:r>
    </w:p>
    <w:p>
      <w:pPr>
        <w:pStyle w:val="TOC1"/>
        <w:rPr/>
      </w:pPr>
      <w:r>
        <w:rPr/>
        <w:fldChar w:fldCharType="begin"/>
      </w:r>
      <w:r>
        <w:rPr/>
        <w:instrText xml:space="preserve"> REF WCTOCLevel1Mark5in1BGZ04 \h </w:instrText>
      </w:r>
      <w:r>
        <w:rPr/>
        <w:fldChar w:fldCharType="separate"/>
      </w:r>
      <w:r>
        <w:rPr/>
        <w:t>III. STATEMENT OF ISSUES</w:t>
      </w:r>
      <w:r>
        <w:rPr/>
        <w:fldChar w:fldCharType="end"/>
      </w:r>
      <w:r>
        <w:rPr/>
        <w:tab/>
      </w:r>
      <w:r>
        <w:rPr/>
        <w:fldChar w:fldCharType="begin"/>
      </w:r>
      <w:r>
        <w:rPr/>
        <w:instrText xml:space="preserve"> PAGEREF WCTOCLevel1Mark5in1BGZ04 \h </w:instrText>
      </w:r>
      <w:r>
        <w:rPr/>
        <w:fldChar w:fldCharType="separate"/>
      </w:r>
      <w:r>
        <w:rPr/>
        <w:t>3</w:t>
      </w:r>
      <w:r>
        <w:rPr/>
        <w:fldChar w:fldCharType="end"/>
      </w:r>
    </w:p>
    <w:p>
      <w:pPr>
        <w:pStyle w:val="TOC1"/>
        <w:rPr/>
      </w:pPr>
      <w:r>
        <w:rPr/>
        <w:fldChar w:fldCharType="begin"/>
      </w:r>
      <w:r>
        <w:rPr/>
        <w:instrText xml:space="preserve"> REF WCTOCLevel1Mark6in1BGZ04 \h </w:instrText>
      </w:r>
      <w:r>
        <w:rPr/>
        <w:fldChar w:fldCharType="separate"/>
      </w:r>
      <w:r>
        <w:rPr/>
        <w:t>IV. FACTUAL AND PROCEDURAL BACKGROUND</w:t>
      </w:r>
      <w:r>
        <w:rPr/>
        <w:fldChar w:fldCharType="end"/>
      </w:r>
      <w:r>
        <w:rPr/>
        <w:tab/>
      </w:r>
      <w:r>
        <w:rPr/>
        <w:fldChar w:fldCharType="begin"/>
      </w:r>
      <w:r>
        <w:rPr/>
        <w:instrText xml:space="preserve"> PAGEREF WCTOCLevel1Mark6in1BGZ04 \h </w:instrText>
      </w:r>
      <w:r>
        <w:rPr/>
        <w:fldChar w:fldCharType="separate"/>
      </w:r>
      <w:r>
        <w:rPr/>
        <w:t>3</w:t>
      </w:r>
      <w:r>
        <w:rPr/>
        <w:fldChar w:fldCharType="end"/>
      </w:r>
    </w:p>
    <w:p>
      <w:pPr>
        <w:pStyle w:val="TOC1"/>
        <w:rPr/>
      </w:pPr>
      <w:r>
        <w:rPr/>
        <w:fldChar w:fldCharType="begin"/>
      </w:r>
      <w:r>
        <w:rPr/>
        <w:instrText xml:space="preserve"> REF WCTOCLevel1Mark7in1BGZ04 \h </w:instrText>
      </w:r>
      <w:r>
        <w:rPr/>
        <w:fldChar w:fldCharType="separate"/>
      </w:r>
      <w:r>
        <w:rPr/>
        <w:t>V. SUMMARY OF ARGUMENT</w:t>
      </w:r>
      <w:r>
        <w:rPr/>
        <w:fldChar w:fldCharType="end"/>
      </w:r>
      <w:r>
        <w:rPr/>
        <w:tab/>
      </w:r>
      <w:r>
        <w:rPr/>
        <w:fldChar w:fldCharType="begin"/>
      </w:r>
      <w:r>
        <w:rPr/>
        <w:instrText xml:space="preserve"> PAGEREF WCTOCLevel1Mark7in1BGZ04 \h </w:instrText>
      </w:r>
      <w:r>
        <w:rPr/>
        <w:fldChar w:fldCharType="separate"/>
      </w:r>
      <w:r>
        <w:rPr/>
        <w:t>7</w:t>
      </w:r>
      <w:r>
        <w:rPr/>
        <w:fldChar w:fldCharType="end"/>
      </w:r>
    </w:p>
    <w:p>
      <w:pPr>
        <w:pStyle w:val="TOC1"/>
        <w:rPr/>
      </w:pPr>
      <w:r>
        <w:rPr/>
        <w:fldChar w:fldCharType="begin"/>
      </w:r>
      <w:r>
        <w:rPr/>
        <w:instrText xml:space="preserve"> REF WCTOCLevel1Mark2in1BGZ04 \h </w:instrText>
      </w:r>
      <w:r>
        <w:rPr/>
        <w:fldChar w:fldCharType="separate"/>
      </w:r>
      <w:r>
        <w:rPr/>
        <w:t>VI. ARGUMENT</w:t>
      </w:r>
      <w:r>
        <w:rPr/>
        <w:fldChar w:fldCharType="end"/>
      </w:r>
      <w:r>
        <w:rPr/>
        <w:tab/>
      </w:r>
      <w:r>
        <w:rPr/>
        <w:fldChar w:fldCharType="begin"/>
      </w:r>
      <w:r>
        <w:rPr/>
        <w:instrText xml:space="preserve"> PAGEREF WCTOCLevel1Mark2in1BGZ04 \h </w:instrText>
      </w:r>
      <w:r>
        <w:rPr/>
        <w:fldChar w:fldCharType="separate"/>
      </w:r>
      <w:r>
        <w:rPr/>
        <w:t>9</w:t>
      </w:r>
      <w:r>
        <w:rPr/>
        <w:fldChar w:fldCharType="end"/>
      </w:r>
    </w:p>
    <w:p>
      <w:pPr>
        <w:pStyle w:val="TOC2"/>
        <w:rPr/>
      </w:pPr>
      <w:r>
        <w:rPr/>
        <w:fldChar w:fldCharType="begin"/>
      </w:r>
      <w:r>
        <w:rPr/>
        <w:instrText xml:space="preserve"> REF WCTOCLevel2Mark1in1BGZ04 \h </w:instrText>
      </w:r>
      <w:r>
        <w:rPr/>
        <w:fldChar w:fldCharType="separate"/>
      </w:r>
      <w:r>
        <w:rPr/>
        <w:t>A. FEDERAL PREEMPTION BARS TANC’S STATE LAW CLAIMS</w:t>
      </w:r>
      <w:r>
        <w:rPr/>
        <w:fldChar w:fldCharType="end"/>
      </w:r>
      <w:r>
        <w:rPr/>
        <w:tab/>
      </w:r>
      <w:r>
        <w:rPr/>
        <w:fldChar w:fldCharType="begin"/>
      </w:r>
      <w:r>
        <w:rPr/>
        <w:instrText xml:space="preserve"> PAGEREF WCTOCLevel2Mark1in1BGZ04 \h </w:instrText>
      </w:r>
      <w:r>
        <w:rPr/>
        <w:fldChar w:fldCharType="separate"/>
      </w:r>
      <w:r>
        <w:rPr/>
        <w:t>9</w:t>
      </w:r>
      <w:r>
        <w:rPr/>
        <w:fldChar w:fldCharType="end"/>
      </w:r>
    </w:p>
    <w:p>
      <w:pPr>
        <w:pStyle w:val="TOC2"/>
        <w:rPr/>
      </w:pPr>
      <w:r>
        <w:rPr/>
      </w:r>
    </w:p>
    <w:p>
      <w:pPr>
        <w:pStyle w:val="TOC2"/>
        <w:rPr/>
      </w:pPr>
      <w:r>
        <w:rPr/>
        <w:fldChar w:fldCharType="begin"/>
      </w:r>
      <w:r>
        <w:rPr/>
        <w:instrText xml:space="preserve"> REF WCTOCLevel2Mark15in1BGZ04 \h </w:instrText>
      </w:r>
      <w:r>
        <w:rPr/>
        <w:fldChar w:fldCharType="separate"/>
      </w:r>
      <w:r>
        <w:rPr/>
        <w:t>B. TANC’S STATE COURT CLAIMS ARE PREEMPTED BY THE FILED RATE DOCTRINE</w:t>
      </w:r>
      <w:r>
        <w:rPr/>
        <w:fldChar w:fldCharType="end"/>
      </w:r>
      <w:r>
        <w:rPr/>
        <w:tab/>
      </w:r>
      <w:r>
        <w:rPr/>
        <w:fldChar w:fldCharType="begin"/>
      </w:r>
      <w:r>
        <w:rPr/>
        <w:instrText xml:space="preserve"> PAGEREF WCTOCLevel2Mark15in1BGZ04 \h </w:instrText>
      </w:r>
      <w:r>
        <w:rPr/>
        <w:fldChar w:fldCharType="separate"/>
      </w:r>
      <w:r>
        <w:rPr/>
        <w:t>21</w:t>
      </w:r>
      <w:r>
        <w:rPr/>
        <w:fldChar w:fldCharType="end"/>
      </w:r>
    </w:p>
    <w:p>
      <w:pPr>
        <w:pStyle w:val="TOC2"/>
        <w:rPr/>
      </w:pPr>
      <w:r>
        <w:rPr/>
      </w:r>
    </w:p>
    <w:p>
      <w:pPr>
        <w:pStyle w:val="TOC2"/>
        <w:rPr/>
      </w:pPr>
      <w:r>
        <w:rPr/>
        <w:fldChar w:fldCharType="begin"/>
      </w:r>
      <w:r>
        <w:rPr/>
        <w:instrText xml:space="preserve"> REF WCTOCLevel2Mark8in1BGZ04 \h </w:instrText>
      </w:r>
      <w:r>
        <w:rPr/>
        <w:fldChar w:fldCharType="separate"/>
      </w:r>
      <w:r>
        <w:rPr/>
        <w:t>C. TANC’S STATE LAW CLAIMS WOULD IMPERMISSIBLY CONFLICT WITH FERC’S TRANSMISSION AND FILED RATE DOCTRINES</w:t>
      </w:r>
      <w:r>
        <w:rPr/>
        <w:fldChar w:fldCharType="end"/>
      </w:r>
      <w:r>
        <w:rPr/>
        <w:tab/>
      </w:r>
      <w:r>
        <w:rPr/>
        <w:fldChar w:fldCharType="begin"/>
      </w:r>
      <w:r>
        <w:rPr/>
        <w:instrText xml:space="preserve"> PAGEREF WCTOCLevel2Mark8in1BGZ04 \h </w:instrText>
      </w:r>
      <w:r>
        <w:rPr/>
        <w:fldChar w:fldCharType="separate"/>
      </w:r>
      <w:r>
        <w:rPr/>
        <w:t>30</w:t>
      </w:r>
      <w:r>
        <w:rPr/>
        <w:fldChar w:fldCharType="end"/>
      </w:r>
    </w:p>
    <w:p>
      <w:pPr>
        <w:pStyle w:val="TOC2"/>
        <w:rPr/>
      </w:pPr>
      <w:r>
        <w:rPr/>
      </w:r>
    </w:p>
    <w:p>
      <w:pPr>
        <w:pStyle w:val="TOC3"/>
        <w:rPr/>
      </w:pPr>
      <w:r>
        <w:rPr/>
        <w:fldChar w:fldCharType="begin"/>
      </w:r>
      <w:r>
        <w:rPr/>
        <w:instrText xml:space="preserve"> REF WCTOCLevel3Mark9in1BGZ04 \h </w:instrText>
      </w:r>
      <w:r>
        <w:rPr/>
        <w:fldChar w:fldCharType="separate"/>
      </w:r>
      <w:r>
        <w:rPr/>
        <w:t>1. The State Court Action Would Violate FERC’s Open Access Directive Embodied In Order 888</w:t>
      </w:r>
      <w:r>
        <w:rPr/>
        <w:fldChar w:fldCharType="end"/>
      </w:r>
      <w:r>
        <w:rPr/>
        <w:tab/>
      </w:r>
      <w:r>
        <w:rPr/>
        <w:fldChar w:fldCharType="begin"/>
      </w:r>
      <w:r>
        <w:rPr/>
        <w:instrText xml:space="preserve"> PAGEREF WCTOCLevel3Mark9in1BGZ04 \h </w:instrText>
      </w:r>
      <w:r>
        <w:rPr/>
        <w:fldChar w:fldCharType="separate"/>
      </w:r>
      <w:r>
        <w:rPr/>
        <w:t>30</w:t>
      </w:r>
      <w:r>
        <w:rPr/>
        <w:fldChar w:fldCharType="end"/>
      </w:r>
    </w:p>
    <w:p>
      <w:pPr>
        <w:pStyle w:val="TOC3"/>
        <w:rPr/>
      </w:pPr>
      <w:r>
        <w:rPr/>
      </w:r>
    </w:p>
    <w:p>
      <w:pPr>
        <w:pStyle w:val="TOC3"/>
        <w:rPr/>
      </w:pPr>
      <w:r>
        <w:rPr/>
        <w:fldChar w:fldCharType="begin"/>
      </w:r>
      <w:r>
        <w:rPr/>
        <w:instrText xml:space="preserve"> REF WCTOCLevel3Mark10in1BGZ04 \h </w:instrText>
      </w:r>
      <w:r>
        <w:rPr/>
        <w:fldChar w:fldCharType="separate"/>
      </w:r>
      <w:r>
        <w:rPr/>
        <w:t>2. Damages in TANC’s State Law Action Would Violate FERC’s Filed Rate Doctrine</w:t>
      </w:r>
      <w:r>
        <w:rPr/>
        <w:fldChar w:fldCharType="end"/>
      </w:r>
      <w:r>
        <w:rPr/>
        <w:tab/>
      </w:r>
      <w:r>
        <w:rPr/>
        <w:fldChar w:fldCharType="begin"/>
      </w:r>
      <w:r>
        <w:rPr/>
        <w:instrText xml:space="preserve"> PAGEREF WCTOCLevel3Mark10in1BGZ04 \h </w:instrText>
      </w:r>
      <w:r>
        <w:rPr/>
        <w:fldChar w:fldCharType="separate"/>
      </w:r>
      <w:r>
        <w:rPr/>
        <w:t>38</w:t>
      </w:r>
      <w:r>
        <w:rPr/>
        <w:fldChar w:fldCharType="end"/>
      </w:r>
    </w:p>
    <w:p>
      <w:pPr>
        <w:pStyle w:val="TOC3"/>
        <w:rPr/>
      </w:pPr>
      <w:r>
        <w:rPr/>
      </w:r>
    </w:p>
    <w:p>
      <w:pPr>
        <w:pStyle w:val="Text"/>
        <w:spacing w:lineRule="auto" w:line="480"/>
        <w:ind w:hanging="0" w:end="0"/>
        <w:jc w:val="center"/>
        <w:rPr>
          <w:smallCaps/>
          <w:sz w:val="28"/>
          <w:szCs w:val="28"/>
          <w:u w:val="single"/>
        </w:rPr>
      </w:pPr>
      <w:r>
        <w:rPr>
          <w:smallCaps/>
          <w:sz w:val="28"/>
          <w:szCs w:val="28"/>
          <w:u w:val="single"/>
        </w:rPr>
        <w:t>Table of Contents (Continued)</w:t>
      </w:r>
    </w:p>
    <w:p>
      <w:pPr>
        <w:pStyle w:val="Text"/>
        <w:spacing w:lineRule="auto" w:line="480"/>
        <w:ind w:hanging="0" w:end="0"/>
        <w:jc w:val="end"/>
        <w:rPr>
          <w:smallCaps/>
          <w:sz w:val="28"/>
          <w:szCs w:val="28"/>
          <w:u w:val="single"/>
        </w:rPr>
      </w:pPr>
      <w:r>
        <w:rPr>
          <w:smallCaps/>
          <w:sz w:val="28"/>
          <w:szCs w:val="28"/>
          <w:u w:val="single"/>
        </w:rPr>
        <w:t>Page(s)</w:t>
      </w:r>
    </w:p>
    <w:p>
      <w:pPr>
        <w:pStyle w:val="TOC4"/>
        <w:rPr/>
      </w:pPr>
      <w:r>
        <w:rPr>
          <w:smallCaps/>
          <w:sz w:val="28"/>
          <w:szCs w:val="28"/>
          <w:u w:val="single"/>
        </w:rPr>
        <w:fldChar w:fldCharType="begin"/>
      </w:r>
      <w:r>
        <w:rPr>
          <w:smallCaps/>
          <w:sz w:val="28"/>
          <w:u w:val="single"/>
          <w:szCs w:val="28"/>
        </w:rPr>
        <w:instrText xml:space="preserve"> REF WCTOCLevel4Mark11in1BGZ04 \h </w:instrText>
      </w:r>
      <w:r>
        <w:rPr>
          <w:smallCaps/>
          <w:sz w:val="28"/>
          <w:u w:val="single"/>
          <w:szCs w:val="28"/>
        </w:rPr>
        <w:fldChar w:fldCharType="separate"/>
      </w:r>
      <w:r>
        <w:rPr>
          <w:smallCaps/>
          <w:sz w:val="28"/>
          <w:u w:val="single"/>
          <w:szCs w:val="28"/>
        </w:rPr>
        <w:t>a. The Proposed State Law Action Would Impermissibly Reallocate Costs For Electric Services In Interstate Commerce</w:t>
      </w:r>
      <w:r>
        <w:rPr>
          <w:smallCaps/>
          <w:sz w:val="28"/>
          <w:u w:val="single"/>
          <w:szCs w:val="28"/>
        </w:rPr>
        <w:fldChar w:fldCharType="end"/>
      </w:r>
      <w:r>
        <w:rPr/>
        <w:tab/>
      </w:r>
      <w:r>
        <w:rPr/>
        <w:fldChar w:fldCharType="begin"/>
      </w:r>
      <w:r>
        <w:rPr/>
        <w:instrText xml:space="preserve"> PAGEREF WCTOCLevel4Mark11in1BGZ04 \h </w:instrText>
      </w:r>
      <w:r>
        <w:rPr/>
        <w:fldChar w:fldCharType="separate"/>
      </w:r>
      <w:r>
        <w:rPr/>
        <w:t>38</w:t>
      </w:r>
      <w:r>
        <w:rPr/>
        <w:fldChar w:fldCharType="end"/>
      </w:r>
    </w:p>
    <w:p>
      <w:pPr>
        <w:pStyle w:val="TOC4"/>
        <w:rPr/>
      </w:pPr>
      <w:r>
        <w:rPr/>
      </w:r>
    </w:p>
    <w:p>
      <w:pPr>
        <w:pStyle w:val="TOC4"/>
        <w:rPr/>
      </w:pPr>
      <w:r>
        <w:rPr/>
        <w:fldChar w:fldCharType="begin"/>
      </w:r>
      <w:r>
        <w:rPr/>
        <w:instrText xml:space="preserve"> REF WCTOCLevel4Mark12in1BGZ04 \h </w:instrText>
      </w:r>
      <w:r>
        <w:rPr/>
        <w:fldChar w:fldCharType="separate"/>
      </w:r>
      <w:r>
        <w:rPr/>
        <w:t>b. TANC’s Purported Loss Of Investment Presents A Federal Issue</w:t>
      </w:r>
      <w:r>
        <w:rPr/>
        <w:fldChar w:fldCharType="end"/>
      </w:r>
      <w:r>
        <w:rPr/>
        <w:tab/>
      </w:r>
      <w:r>
        <w:rPr/>
        <w:fldChar w:fldCharType="begin"/>
      </w:r>
      <w:r>
        <w:rPr/>
        <w:instrText xml:space="preserve"> PAGEREF WCTOCLevel4Mark12in1BGZ04 \h </w:instrText>
      </w:r>
      <w:r>
        <w:rPr/>
        <w:fldChar w:fldCharType="separate"/>
      </w:r>
      <w:r>
        <w:rPr/>
        <w:t>40</w:t>
      </w:r>
      <w:r>
        <w:rPr/>
        <w:fldChar w:fldCharType="end"/>
      </w:r>
    </w:p>
    <w:p>
      <w:pPr>
        <w:pStyle w:val="TOC4"/>
        <w:rPr/>
      </w:pPr>
      <w:r>
        <w:rPr/>
      </w:r>
    </w:p>
    <w:p>
      <w:pPr>
        <w:pStyle w:val="TOC3"/>
        <w:rPr/>
      </w:pPr>
      <w:r>
        <w:rPr/>
        <w:fldChar w:fldCharType="begin"/>
      </w:r>
      <w:r>
        <w:rPr/>
        <w:instrText xml:space="preserve"> REF WCTOCLevel3Mark13in1BGZ04 \h </w:instrText>
      </w:r>
      <w:r>
        <w:rPr/>
        <w:fldChar w:fldCharType="separate"/>
      </w:r>
      <w:r>
        <w:rPr/>
        <w:t>3. TANC’s Remedy Is Through FERC</w:t>
      </w:r>
      <w:r>
        <w:rPr/>
        <w:fldChar w:fldCharType="end"/>
      </w:r>
      <w:r>
        <w:rPr/>
        <w:tab/>
      </w:r>
      <w:r>
        <w:rPr/>
        <w:fldChar w:fldCharType="begin"/>
      </w:r>
      <w:r>
        <w:rPr/>
        <w:instrText xml:space="preserve"> PAGEREF WCTOCLevel3Mark13in1BGZ04 \h </w:instrText>
      </w:r>
      <w:r>
        <w:rPr/>
        <w:fldChar w:fldCharType="separate"/>
      </w:r>
      <w:r>
        <w:rPr/>
        <w:t>41</w:t>
      </w:r>
      <w:r>
        <w:rPr/>
        <w:fldChar w:fldCharType="end"/>
      </w:r>
    </w:p>
    <w:p>
      <w:pPr>
        <w:pStyle w:val="TOC3"/>
        <w:rPr/>
      </w:pPr>
      <w:r>
        <w:rPr/>
      </w:r>
    </w:p>
    <w:p>
      <w:pPr>
        <w:pStyle w:val="TOC2"/>
        <w:rPr/>
      </w:pPr>
      <w:r>
        <w:rPr/>
        <w:fldChar w:fldCharType="begin"/>
      </w:r>
      <w:r>
        <w:rPr/>
        <w:instrText xml:space="preserve"> REF WCTOCLevel2Mark14in1BGZ04 \h </w:instrText>
      </w:r>
      <w:r>
        <w:rPr/>
        <w:fldChar w:fldCharType="separate"/>
      </w:r>
      <w:r>
        <w:rPr/>
        <w:t>D. TANC RECOGNIZED FEDERAL PREEMPTION WHEN IT FILED THE EXISTING FERC PROCEEDING</w:t>
      </w:r>
      <w:r>
        <w:rPr/>
        <w:fldChar w:fldCharType="end"/>
      </w:r>
      <w:r>
        <w:rPr/>
        <w:tab/>
      </w:r>
      <w:r>
        <w:rPr/>
        <w:fldChar w:fldCharType="begin"/>
      </w:r>
      <w:r>
        <w:rPr/>
        <w:instrText xml:space="preserve"> PAGEREF WCTOCLevel2Mark14in1BGZ04 \h </w:instrText>
      </w:r>
      <w:r>
        <w:rPr/>
        <w:fldChar w:fldCharType="separate"/>
      </w:r>
      <w:r>
        <w:rPr/>
        <w:t>41</w:t>
      </w:r>
      <w:r>
        <w:rPr/>
        <w:fldChar w:fldCharType="end"/>
      </w:r>
    </w:p>
    <w:p>
      <w:pPr>
        <w:pStyle w:val="TOC1"/>
        <w:spacing w:before="360" w:after="0"/>
        <w:rPr>
          <w:smallCaps/>
          <w:sz w:val="28"/>
          <w:szCs w:val="28"/>
        </w:rPr>
      </w:pPr>
      <w:r>
        <w:rPr>
          <w:smallCaps/>
          <w:sz w:val="28"/>
          <w:szCs w:val="28"/>
        </w:rPr>
        <w:t>Certificate of compliance</w:t>
        <w:tab/>
      </w:r>
    </w:p>
    <w:p>
      <w:pPr>
        <w:pStyle w:val="TOC1"/>
        <w:rPr/>
      </w:pPr>
      <w:r>
        <w:rPr>
          <w:smallCaps/>
          <w:sz w:val="28"/>
          <w:szCs w:val="28"/>
        </w:rPr>
        <w:t>Related Cases</w:t>
      </w:r>
      <w:r>
        <w:rPr>
          <w:sz w:val="28"/>
          <w:szCs w:val="28"/>
        </w:rPr>
        <w:tab/>
      </w:r>
      <w:r>
        <w:br w:type="page"/>
      </w:r>
    </w:p>
    <w:p>
      <w:pPr>
        <w:pStyle w:val="Text"/>
        <w:spacing w:lineRule="auto" w:line="480"/>
        <w:ind w:hanging="0" w:end="0"/>
        <w:jc w:val="center"/>
        <w:rPr>
          <w:smallCaps/>
          <w:sz w:val="28"/>
          <w:szCs w:val="28"/>
          <w:u w:val="single"/>
        </w:rPr>
      </w:pPr>
      <w:r>
        <w:rPr>
          <w:smallCaps/>
          <w:sz w:val="28"/>
          <w:szCs w:val="28"/>
          <w:u w:val="single"/>
        </w:rPr>
        <w:t>Table of Authorities</w:t>
      </w:r>
    </w:p>
    <w:p>
      <w:pPr>
        <w:sectPr>
          <w:headerReference w:type="default" r:id="rId8"/>
          <w:headerReference w:type="first" r:id="rId9"/>
          <w:footerReference w:type="default" r:id="rId10"/>
          <w:footerReference w:type="first" r:id="rId11"/>
          <w:type w:val="nextPage"/>
          <w:pgSz w:w="12240" w:h="15840"/>
          <w:pgMar w:left="1440" w:right="1440" w:gutter="0" w:header="706" w:top="1440" w:footer="850" w:bottom="1440"/>
          <w:pgNumType w:start="2" w:fmt="lowerRoman"/>
          <w:formProt w:val="false"/>
          <w:textDirection w:val="lrTb"/>
        </w:sectPr>
        <w:pStyle w:val="Text"/>
        <w:spacing w:lineRule="auto" w:line="480"/>
        <w:ind w:hanging="0" w:end="0"/>
        <w:rPr>
          <w:sz w:val="28"/>
          <w:szCs w:val="28"/>
        </w:rPr>
      </w:pPr>
      <w:r>
        <w:rPr>
          <w:sz w:val="28"/>
          <w:szCs w:val="28"/>
        </w:rPr>
        <w:t>[insert]</w:t>
      </w:r>
    </w:p>
    <w:p>
      <w:pPr>
        <w:pStyle w:val="Text"/>
        <w:spacing w:lineRule="auto" w:line="480"/>
        <w:ind w:hanging="0" w:end="0"/>
        <w:jc w:val="center"/>
        <w:rPr>
          <w:sz w:val="28"/>
          <w:szCs w:val="28"/>
        </w:rPr>
      </w:pPr>
      <w:r>
        <w:fldChar w:fldCharType="begin"/>
      </w:r>
      <w:r>
        <w:rPr>
          <w:sz w:val="28"/>
          <w:szCs w:val="28"/>
          <w:lang w:val="en-CA"/>
        </w:rPr>
        <w:instrText xml:space="preserve"> QUOTE "</w:instrText>
      </w:r>
      <w:bookmarkStart w:id="4" w:name="WCTOCLevel1Mark3in1BGZ04"/>
      <w:r>
        <w:rPr>
          <w:sz w:val="28"/>
          <w:szCs w:val="28"/>
          <w:lang w:val="en-CA"/>
        </w:rPr>
      </w:r>
      <w:r>
        <w:rPr>
          <w:sz w:val="28"/>
          <w:szCs w:val="28"/>
          <w:lang w:val="en-CA"/>
        </w:rPr>
        <w:fldChar w:fldCharType="separate"/>
      </w:r>
      <w:r>
        <w:rPr>
          <w:sz w:val="28"/>
          <w:szCs w:val="28"/>
          <w:lang w:val="en-CA"/>
        </w:rPr>
        <w:t>I.</w:t>
      </w:r>
      <w:r>
        <w:rPr>
          <w:sz w:val="28"/>
          <w:szCs w:val="28"/>
          <w:lang w:val="en-CA"/>
        </w:rPr>
      </w:r>
      <w:r>
        <w:rPr>
          <w:sz w:val="28"/>
          <w:szCs w:val="28"/>
          <w:lang w:val="en-CA"/>
        </w:rPr>
        <w:fldChar w:fldCharType="end"/>
      </w:r>
      <w:r>
        <w:rPr>
          <w:sz w:val="28"/>
          <w:szCs w:val="28"/>
        </w:rPr>
        <w:br/>
      </w:r>
      <w:r>
        <w:rPr>
          <w:sz w:val="28"/>
          <w:szCs w:val="28"/>
          <w:u w:val="single"/>
        </w:rPr>
        <w:t>INTRODUCTION</w:t>
      </w:r>
      <w:bookmarkEnd w:id="4"/>
    </w:p>
    <w:p>
      <w:pPr>
        <w:pStyle w:val="Text"/>
        <w:spacing w:lineRule="auto" w:line="480" w:before="0" w:after="0"/>
        <w:ind w:firstLine="720" w:end="0"/>
        <w:rPr>
          <w:sz w:val="28"/>
          <w:szCs w:val="28"/>
        </w:rPr>
      </w:pPr>
      <w:r>
        <w:rPr>
          <w:sz w:val="28"/>
          <w:szCs w:val="28"/>
        </w:rPr>
        <w:t>When an ostrich sticks its head in the sand it firmly believes that a large portion of its body, which everybody else can see, is invisible.  Likewise, [appellant Transmission Agency of Northern California (“TANC”)] apparently believes that if it artfully pleads its federal claims as state court causes of action no one will see the huge federal preemption issue that required the District Court to dismiss its claims.</w:t>
      </w:r>
    </w:p>
    <w:p>
      <w:pPr>
        <w:pStyle w:val="Text"/>
        <w:spacing w:lineRule="auto" w:line="480" w:before="0" w:after="0"/>
        <w:ind w:firstLine="720" w:end="0"/>
        <w:rPr>
          <w:sz w:val="28"/>
          <w:szCs w:val="28"/>
        </w:rPr>
      </w:pPr>
      <w:r>
        <w:rPr>
          <w:sz w:val="28"/>
          <w:szCs w:val="28"/>
        </w:rPr>
        <w:t>The District Court properly dismissed TANC’s claims against Sierra Pacific Power Company (“Sierra Pacific”).  In doing so, Judge Shubb’s Memorandum and Order states at page 22:</w:t>
      </w:r>
    </w:p>
    <w:p>
      <w:pPr>
        <w:pStyle w:val="Text"/>
        <w:spacing w:before="0" w:after="120"/>
        <w:ind w:hanging="0" w:start="1440" w:end="1354"/>
        <w:rPr>
          <w:sz w:val="28"/>
          <w:szCs w:val="28"/>
        </w:rPr>
      </w:pPr>
      <w:r>
        <w:rPr>
          <w:sz w:val="28"/>
          <w:szCs w:val="28"/>
        </w:rPr>
        <w:t>“</w:t>
      </w:r>
      <w:r>
        <w:rPr>
          <w:sz w:val="28"/>
          <w:szCs w:val="28"/>
        </w:rPr>
        <w:t xml:space="preserve">TANC’s argument ignores the purpose of preemption.  The pertinent question is not whether this action implicates [the Federal Energy Regulatory Commission’s] rate-making powers, but rather, whether TANC’s claims implicate any of FERC’s regulatory powers under the [Federal Power Act].  Under the [Federal Power Act], FERC regulates not only the sales of electrical power, but also the interstate transmission of energy.”  [ER 188] </w:t>
      </w:r>
      <w:r>
        <w:rPr>
          <w:rStyle w:val="FootnoteCharacters"/>
          <w:rStyle w:val="FootnoteReference"/>
        </w:rPr>
        <w:footnoteReference w:id="2"/>
      </w:r>
    </w:p>
    <w:p>
      <w:pPr>
        <w:pStyle w:val="Text"/>
        <w:spacing w:lineRule="auto" w:line="480" w:before="0" w:after="0"/>
        <w:rPr/>
      </w:pPr>
      <w:r>
        <w:rPr>
          <w:sz w:val="28"/>
          <w:szCs w:val="28"/>
        </w:rPr>
        <w:t xml:space="preserve">TANC’s claim is concerned with potential competition for 300 MW of wholesale electricity that may be transmitted to Nevada customers through the Alturas Intertie.  That intertie is part of a wholesale transmission grid running through Washington, Oregon, California and Nevada.  Only the Federal Energy Regulatory Commission has jurisdiction over TANC’s claim.  To escape the inevitable dismissal, TANC resorted to the artful pleading device of alleging only state law claims.  It won’t work.  “It makes no difference that plaintiffs choose to bring some of their claims under state law; . . .”  </w:t>
      </w:r>
      <w:r>
        <w:rPr>
          <w:sz w:val="28"/>
          <w:szCs w:val="28"/>
          <w:u w:val="single"/>
        </w:rPr>
        <w:t>County of Stanislaus v. Pac. Gas &amp; Elec.</w:t>
      </w:r>
      <w:r>
        <w:rPr>
          <w:sz w:val="28"/>
          <w:szCs w:val="28"/>
        </w:rPr>
        <w:t>, 114 F.3d 858, 865 (9th Cir. 1997).</w:t>
      </w:r>
    </w:p>
    <w:p>
      <w:pPr>
        <w:pStyle w:val="Text"/>
        <w:spacing w:lineRule="auto" w:line="480" w:before="0" w:after="0"/>
        <w:ind w:firstLine="720" w:end="0"/>
        <w:rPr/>
      </w:pPr>
      <w:r>
        <w:rPr>
          <w:sz w:val="28"/>
          <w:szCs w:val="28"/>
        </w:rPr>
        <w:t xml:space="preserve">The frivolous nature of TANC’s appeal is highlighted by its statement that it is not challenging Sierra Pacific’s right to </w:t>
      </w:r>
      <w:r>
        <w:rPr>
          <w:i/>
          <w:iCs/>
          <w:sz w:val="28"/>
          <w:szCs w:val="28"/>
        </w:rPr>
        <w:t>interconnect</w:t>
      </w:r>
      <w:r>
        <w:rPr>
          <w:sz w:val="28"/>
          <w:szCs w:val="28"/>
        </w:rPr>
        <w:t xml:space="preserve"> the Alturas Intertie, only Sierra Pacific’s </w:t>
      </w:r>
      <w:r>
        <w:rPr>
          <w:i/>
          <w:iCs/>
          <w:sz w:val="28"/>
          <w:szCs w:val="28"/>
        </w:rPr>
        <w:t>use</w:t>
      </w:r>
      <w:r>
        <w:rPr>
          <w:sz w:val="28"/>
          <w:szCs w:val="28"/>
        </w:rPr>
        <w:t xml:space="preserve"> of the Intertie.  TANC’s statement ignores the fact that the use of electric transmission facilities in interstate commerce is governed solely by federal law.  TANC’s argument is devoid of both legal merit and common sense.</w:t>
      </w:r>
    </w:p>
    <w:p>
      <w:pPr>
        <w:pStyle w:val="Text"/>
        <w:spacing w:lineRule="auto" w:line="480" w:before="0" w:after="0"/>
        <w:ind w:firstLine="720" w:end="0"/>
        <w:rPr/>
      </w:pPr>
      <w:r>
        <w:rPr>
          <w:sz w:val="28"/>
          <w:szCs w:val="28"/>
        </w:rPr>
        <w:t>This is TANC’s seventh challenge to the Alturas Interie.  [SER ____]  One of its last protests is still before FERC [ER 170], where FERC’s Administrative Law Judge issued an Order on March 22, 2001 approving Sierra Pacific’s Interconnection Agreement and Operating Agreement for the Alturas Intertie.  [Second Supplemental Request for Judicial Notice, __].</w:t>
      </w:r>
      <w:r>
        <w:rPr>
          <w:rStyle w:val="FootnoteCharacters"/>
          <w:rStyle w:val="FootnoteReference"/>
        </w:rPr>
        <w:footnoteReference w:id="3"/>
      </w:r>
      <w:r>
        <w:rPr>
          <w:sz w:val="28"/>
          <w:szCs w:val="28"/>
        </w:rPr>
        <w:t xml:space="preserve">  FERC is the </w:t>
      </w:r>
      <w:r>
        <w:rPr>
          <w:sz w:val="28"/>
          <w:szCs w:val="28"/>
          <w:u w:val="single"/>
        </w:rPr>
        <w:t>only</w:t>
      </w:r>
      <w:r>
        <w:rPr>
          <w:sz w:val="28"/>
          <w:szCs w:val="28"/>
        </w:rPr>
        <w:t xml:space="preserve"> place where this matter belongs.  As the District Court correctly stated, this matter is preempted by the Federal Power Act.  [ER 189-90]</w:t>
      </w:r>
    </w:p>
    <w:p>
      <w:pPr>
        <w:pStyle w:val="Text"/>
        <w:spacing w:before="0" w:after="240"/>
        <w:ind w:hanging="0" w:end="0"/>
        <w:jc w:val="center"/>
        <w:rPr/>
      </w:pPr>
      <w:r>
        <w:fldChar w:fldCharType="begin"/>
      </w:r>
      <w:r>
        <w:rPr>
          <w:sz w:val="28"/>
          <w:szCs w:val="28"/>
          <w:lang w:val="en-CA"/>
        </w:rPr>
        <w:instrText xml:space="preserve"> QUOTE "</w:instrText>
      </w:r>
      <w:bookmarkStart w:id="5" w:name="WCTOCLevel1Mark4in1BGZ04"/>
      <w:r>
        <w:rPr>
          <w:sz w:val="28"/>
          <w:szCs w:val="28"/>
          <w:lang w:val="en-CA"/>
        </w:rPr>
      </w:r>
      <w:r>
        <w:rPr>
          <w:sz w:val="28"/>
          <w:szCs w:val="28"/>
          <w:lang w:val="en-CA"/>
        </w:rPr>
        <w:fldChar w:fldCharType="separate"/>
      </w:r>
      <w:r>
        <w:rPr>
          <w:sz w:val="28"/>
          <w:szCs w:val="28"/>
          <w:lang w:val="en-CA"/>
        </w:rPr>
        <w:t>II.</w:t>
      </w:r>
      <w:r>
        <w:rPr>
          <w:sz w:val="28"/>
          <w:szCs w:val="28"/>
          <w:lang w:val="en-CA"/>
        </w:rPr>
      </w:r>
      <w:r>
        <w:rPr>
          <w:sz w:val="28"/>
          <w:szCs w:val="28"/>
          <w:lang w:val="en-CA"/>
        </w:rPr>
        <w:fldChar w:fldCharType="end"/>
      </w:r>
      <w:r>
        <w:rPr>
          <w:sz w:val="28"/>
          <w:szCs w:val="28"/>
        </w:rPr>
        <w:br/>
      </w:r>
      <w:r>
        <w:rPr>
          <w:sz w:val="28"/>
          <w:szCs w:val="28"/>
          <w:u w:val="single"/>
        </w:rPr>
        <w:t>STATEMENT OF JURISDICTION</w:t>
      </w:r>
      <w:bookmarkEnd w:id="5"/>
    </w:p>
    <w:p>
      <w:pPr>
        <w:pStyle w:val="Text"/>
        <w:spacing w:lineRule="auto" w:line="480" w:before="0" w:after="0"/>
        <w:ind w:firstLine="720" w:end="0"/>
        <w:rPr>
          <w:sz w:val="28"/>
          <w:szCs w:val="28"/>
        </w:rPr>
      </w:pPr>
      <w:r>
        <w:rPr>
          <w:sz w:val="28"/>
          <w:szCs w:val="28"/>
        </w:rPr>
        <w:t>Sierra Pacific agrees with TANC’s Statement of Jurisdiction.</w:t>
      </w:r>
    </w:p>
    <w:p>
      <w:pPr>
        <w:pStyle w:val="Text"/>
        <w:spacing w:before="0" w:after="240"/>
        <w:ind w:hanging="0" w:end="0"/>
        <w:jc w:val="center"/>
        <w:rPr>
          <w:b/>
          <w:bCs/>
        </w:rPr>
      </w:pPr>
      <w:r>
        <w:fldChar w:fldCharType="begin"/>
      </w:r>
      <w:r>
        <w:rPr>
          <w:sz w:val="28"/>
          <w:szCs w:val="28"/>
          <w:lang w:val="en-CA"/>
        </w:rPr>
        <w:instrText xml:space="preserve"> QUOTE "</w:instrText>
      </w:r>
      <w:bookmarkStart w:id="6" w:name="WCTOCLevel1Mark5in1BGZ04"/>
      <w:r>
        <w:rPr>
          <w:sz w:val="28"/>
          <w:szCs w:val="28"/>
          <w:lang w:val="en-CA"/>
        </w:rPr>
      </w:r>
      <w:r>
        <w:rPr>
          <w:sz w:val="28"/>
          <w:szCs w:val="28"/>
          <w:lang w:val="en-CA"/>
        </w:rPr>
        <w:fldChar w:fldCharType="separate"/>
      </w:r>
      <w:r>
        <w:rPr>
          <w:sz w:val="28"/>
          <w:szCs w:val="28"/>
          <w:lang w:val="en-CA"/>
        </w:rPr>
        <w:t>III.</w:t>
      </w:r>
      <w:r>
        <w:rPr>
          <w:sz w:val="28"/>
          <w:szCs w:val="28"/>
          <w:lang w:val="en-CA"/>
        </w:rPr>
      </w:r>
      <w:r>
        <w:rPr>
          <w:sz w:val="28"/>
          <w:szCs w:val="28"/>
          <w:lang w:val="en-CA"/>
        </w:rPr>
        <w:fldChar w:fldCharType="end"/>
      </w:r>
      <w:r>
        <w:rPr>
          <w:sz w:val="28"/>
          <w:szCs w:val="28"/>
        </w:rPr>
        <w:br/>
      </w:r>
      <w:r>
        <w:rPr>
          <w:sz w:val="28"/>
          <w:szCs w:val="28"/>
          <w:u w:val="single"/>
        </w:rPr>
        <w:t>STATEMENT OF ISSUES</w:t>
      </w:r>
      <w:bookmarkEnd w:id="6"/>
    </w:p>
    <w:p>
      <w:pPr>
        <w:pStyle w:val="Text"/>
        <w:spacing w:lineRule="auto" w:line="480" w:before="0" w:after="0"/>
        <w:ind w:firstLine="720" w:end="0"/>
        <w:rPr>
          <w:sz w:val="28"/>
          <w:szCs w:val="28"/>
        </w:rPr>
      </w:pPr>
      <w:r>
        <w:rPr>
          <w:sz w:val="28"/>
          <w:szCs w:val="28"/>
        </w:rPr>
        <w:t>TANC has listed six issues for review.  The first five issues appear to relate to TANC’s appeal of the District Court’s ruling in favor of Bonneville, PacifiCorp and Portland General Electric Company.  Only the sixth issue relating to preemption of TANC’s claims by the Federal Power Act, pertains to Sierra Pacific.  That issue is best restated as follows:</w:t>
      </w:r>
    </w:p>
    <w:p>
      <w:pPr>
        <w:pStyle w:val="Text"/>
        <w:spacing w:lineRule="auto" w:line="480" w:before="0" w:after="0"/>
        <w:ind w:hanging="0" w:start="1080" w:end="994"/>
        <w:rPr>
          <w:sz w:val="28"/>
          <w:szCs w:val="28"/>
        </w:rPr>
      </w:pPr>
      <w:r>
        <w:rPr>
          <w:sz w:val="28"/>
          <w:szCs w:val="28"/>
        </w:rPr>
        <w:t>Under the Supremacy Clause of the United States Constitution, does Congress’ assertion of jurisdiction over electric transmission services in interstate commerce preempt actions under state law that would establish or have the effect of establishing priorities to receive such service?</w:t>
      </w:r>
    </w:p>
    <w:p>
      <w:pPr>
        <w:pStyle w:val="Text"/>
        <w:spacing w:lineRule="auto" w:line="480" w:before="0" w:after="0"/>
        <w:ind w:hanging="0" w:end="0"/>
        <w:rPr>
          <w:sz w:val="28"/>
          <w:szCs w:val="28"/>
        </w:rPr>
      </w:pPr>
      <w:r>
        <w:rPr>
          <w:sz w:val="28"/>
          <w:szCs w:val="28"/>
        </w:rPr>
        <w:t>As shown below, the answer is an emphatic “yes.”</w:t>
      </w:r>
    </w:p>
    <w:p>
      <w:pPr>
        <w:pStyle w:val="Text"/>
        <w:spacing w:before="0" w:after="240"/>
        <w:ind w:hanging="0" w:end="0"/>
        <w:jc w:val="center"/>
        <w:rPr>
          <w:b/>
          <w:bCs/>
          <w:sz w:val="28"/>
          <w:szCs w:val="28"/>
          <w:u w:val="single"/>
        </w:rPr>
      </w:pPr>
      <w:r>
        <w:fldChar w:fldCharType="begin"/>
      </w:r>
      <w:r>
        <w:rPr>
          <w:sz w:val="28"/>
          <w:szCs w:val="28"/>
          <w:lang w:val="en-CA"/>
        </w:rPr>
        <w:instrText xml:space="preserve"> QUOTE "</w:instrText>
      </w:r>
      <w:bookmarkStart w:id="7" w:name="WCTOCLevel1Mark6in1BGZ04"/>
      <w:r>
        <w:rPr>
          <w:sz w:val="28"/>
          <w:szCs w:val="28"/>
          <w:lang w:val="en-CA"/>
        </w:rPr>
      </w:r>
      <w:r>
        <w:rPr>
          <w:sz w:val="28"/>
          <w:szCs w:val="28"/>
          <w:lang w:val="en-CA"/>
        </w:rPr>
        <w:fldChar w:fldCharType="separate"/>
      </w:r>
      <w:r>
        <w:rPr>
          <w:sz w:val="28"/>
          <w:szCs w:val="28"/>
          <w:lang w:val="en-CA"/>
        </w:rPr>
        <w:t>IV.</w:t>
      </w:r>
      <w:r>
        <w:rPr>
          <w:sz w:val="28"/>
          <w:szCs w:val="28"/>
          <w:lang w:val="en-CA"/>
        </w:rPr>
      </w:r>
      <w:r>
        <w:rPr>
          <w:sz w:val="28"/>
          <w:szCs w:val="28"/>
          <w:lang w:val="en-CA"/>
        </w:rPr>
        <w:fldChar w:fldCharType="end"/>
      </w:r>
      <w:r>
        <w:rPr>
          <w:sz w:val="28"/>
          <w:szCs w:val="28"/>
        </w:rPr>
        <w:br/>
      </w:r>
      <w:r>
        <w:rPr>
          <w:sz w:val="28"/>
          <w:szCs w:val="28"/>
          <w:u w:val="single"/>
        </w:rPr>
        <w:t>FACTUAL AND PROCEDURAL BACKGROUND</w:t>
      </w:r>
      <w:bookmarkEnd w:id="7"/>
    </w:p>
    <w:p>
      <w:pPr>
        <w:pStyle w:val="Text"/>
        <w:spacing w:lineRule="auto" w:line="480" w:before="0" w:after="0"/>
        <w:ind w:firstLine="720" w:end="0"/>
        <w:rPr>
          <w:sz w:val="28"/>
          <w:szCs w:val="28"/>
        </w:rPr>
      </w:pPr>
      <w:r>
        <w:rPr>
          <w:sz w:val="28"/>
          <w:szCs w:val="28"/>
        </w:rPr>
        <w:t>The factual and procedural background of this case is correctly stated in the District Court’s Memorandum and Order.  [ER 167-71; 184-87]  In essence, TANC seeks damages against Sierra Pacific for conversion, inverse condemnation, trespass, intentional misrepresentation and interference with contractual relationships and prospective advantage.  [ER 1-8]  All of these causes of action arise out of Sierra Pacific’s use of the Alturas Intertie to serve its customers in the Lake Tahoe region of California and in Nevada.  [ER 3-4]</w:t>
      </w:r>
    </w:p>
    <w:p>
      <w:pPr>
        <w:pStyle w:val="Text"/>
        <w:spacing w:lineRule="auto" w:line="480" w:before="0" w:after="0"/>
        <w:ind w:firstLine="720" w:end="0"/>
        <w:rPr>
          <w:sz w:val="28"/>
          <w:szCs w:val="28"/>
        </w:rPr>
      </w:pPr>
      <w:r>
        <w:rPr>
          <w:sz w:val="28"/>
          <w:szCs w:val="28"/>
        </w:rPr>
        <w:t>This is TANC’s seventh action based upon the same set of facts.  The others are:</w:t>
      </w:r>
    </w:p>
    <w:p>
      <w:pPr>
        <w:pStyle w:val="Text"/>
        <w:spacing w:lineRule="auto" w:line="480"/>
        <w:ind w:hanging="720" w:start="1440" w:end="0"/>
        <w:rPr/>
      </w:pPr>
      <w:r>
        <w:rPr>
          <w:sz w:val="28"/>
          <w:szCs w:val="28"/>
        </w:rPr>
        <w:t>(1)</w:t>
        <w:tab/>
      </w:r>
      <w:r>
        <w:rPr>
          <w:sz w:val="28"/>
          <w:szCs w:val="28"/>
          <w:u w:val="single"/>
        </w:rPr>
        <w:t>TANC v. Administrator of the Bonneville Power Administration and Sierra Pacific</w:t>
      </w:r>
      <w:r>
        <w:rPr>
          <w:sz w:val="28"/>
          <w:szCs w:val="28"/>
        </w:rPr>
        <w:t>, Civ. No. 98-71499 (9</w:t>
      </w:r>
      <w:r>
        <w:rPr>
          <w:sz w:val="28"/>
          <w:szCs w:val="28"/>
          <w:vertAlign w:val="superscript"/>
        </w:rPr>
        <w:t>th</w:t>
      </w:r>
      <w:r>
        <w:rPr>
          <w:sz w:val="28"/>
          <w:szCs w:val="28"/>
        </w:rPr>
        <w:t xml:space="preserve"> Cir. 1999) (dismissed);</w:t>
      </w:r>
    </w:p>
    <w:p>
      <w:pPr>
        <w:pStyle w:val="Text"/>
        <w:spacing w:lineRule="auto" w:line="480"/>
        <w:ind w:hanging="720" w:start="1440" w:end="0"/>
        <w:rPr/>
      </w:pPr>
      <w:r>
        <w:rPr>
          <w:sz w:val="28"/>
          <w:szCs w:val="28"/>
        </w:rPr>
        <w:t>(2)</w:t>
        <w:tab/>
      </w:r>
      <w:r>
        <w:rPr>
          <w:sz w:val="28"/>
          <w:szCs w:val="28"/>
          <w:u w:val="single"/>
        </w:rPr>
        <w:t>TANC v. Administrator of the Bonneville Power Administration</w:t>
      </w:r>
      <w:r>
        <w:rPr>
          <w:sz w:val="28"/>
          <w:szCs w:val="28"/>
        </w:rPr>
        <w:t xml:space="preserve">  Civ. No. S-98-2353 (N.D. Cal. 1999) (dismissed);</w:t>
      </w:r>
    </w:p>
    <w:p>
      <w:pPr>
        <w:pStyle w:val="Text"/>
        <w:spacing w:lineRule="auto" w:line="480"/>
        <w:ind w:hanging="720" w:start="1440" w:end="0"/>
        <w:rPr/>
      </w:pPr>
      <w:r>
        <w:rPr>
          <w:sz w:val="28"/>
          <w:szCs w:val="28"/>
        </w:rPr>
        <w:t>(3)</w:t>
        <w:tab/>
      </w:r>
      <w:r>
        <w:rPr>
          <w:sz w:val="28"/>
          <w:szCs w:val="28"/>
          <w:u w:val="single"/>
        </w:rPr>
        <w:t>Sierra Pacific Power Corp.</w:t>
      </w:r>
      <w:r>
        <w:rPr>
          <w:sz w:val="28"/>
          <w:szCs w:val="28"/>
        </w:rPr>
        <w:t xml:space="preserve">, FERC Docket Nos. ER99-38, </w:t>
      </w:r>
      <w:r>
        <w:rPr>
          <w:sz w:val="28"/>
          <w:szCs w:val="28"/>
          <w:u w:val="single"/>
        </w:rPr>
        <w:t>et al.</w:t>
      </w:r>
      <w:r>
        <w:rPr>
          <w:sz w:val="28"/>
          <w:szCs w:val="28"/>
        </w:rPr>
        <w:t xml:space="preserve"> (consolidated) (pending);</w:t>
      </w:r>
    </w:p>
    <w:p>
      <w:pPr>
        <w:pStyle w:val="Text"/>
        <w:spacing w:lineRule="auto" w:line="480"/>
        <w:ind w:hanging="720" w:start="1440" w:end="0"/>
        <w:rPr/>
      </w:pPr>
      <w:r>
        <w:rPr>
          <w:sz w:val="28"/>
          <w:szCs w:val="28"/>
        </w:rPr>
        <w:t>(4)</w:t>
        <w:tab/>
      </w:r>
      <w:r>
        <w:rPr>
          <w:sz w:val="28"/>
          <w:szCs w:val="28"/>
          <w:u w:val="single"/>
        </w:rPr>
        <w:t>Oxbow Geothermal</w:t>
      </w:r>
      <w:r>
        <w:rPr>
          <w:sz w:val="28"/>
          <w:szCs w:val="28"/>
        </w:rPr>
        <w:t>, FERC Docket Nos. EL99-85 (pending);</w:t>
      </w:r>
    </w:p>
    <w:p>
      <w:pPr>
        <w:pStyle w:val="Text"/>
        <w:spacing w:lineRule="auto" w:line="480"/>
        <w:ind w:hanging="720" w:start="1440" w:end="0"/>
        <w:rPr/>
      </w:pPr>
      <w:r>
        <w:rPr>
          <w:sz w:val="28"/>
          <w:szCs w:val="28"/>
        </w:rPr>
        <w:t>(5)</w:t>
        <w:tab/>
      </w:r>
      <w:r>
        <w:rPr>
          <w:sz w:val="28"/>
          <w:szCs w:val="28"/>
          <w:u w:val="single"/>
        </w:rPr>
        <w:t>California ISO</w:t>
      </w:r>
      <w:r>
        <w:rPr>
          <w:sz w:val="28"/>
          <w:szCs w:val="28"/>
        </w:rPr>
        <w:t>, FERC Docket Nos. ER00-742-000 (1999) (dismissed);</w:t>
      </w:r>
    </w:p>
    <w:p>
      <w:pPr>
        <w:pStyle w:val="Text"/>
        <w:spacing w:lineRule="auto" w:line="480"/>
        <w:ind w:hanging="720" w:start="1440" w:end="0"/>
        <w:rPr/>
      </w:pPr>
      <w:r>
        <w:rPr>
          <w:sz w:val="28"/>
          <w:szCs w:val="28"/>
        </w:rPr>
        <w:t>(6)</w:t>
        <w:tab/>
      </w:r>
      <w:r>
        <w:rPr>
          <w:sz w:val="28"/>
          <w:szCs w:val="28"/>
          <w:u w:val="single"/>
        </w:rPr>
        <w:t>Joint Application of Sierra Pacific Power Company, Nevada Power Company and Portland General Electric Company for Authorization and Approval of Acquisition and Indirect Merger</w:t>
      </w:r>
      <w:r>
        <w:rPr>
          <w:sz w:val="28"/>
          <w:szCs w:val="28"/>
        </w:rPr>
        <w:t>, FERC Docket No. EC00-63-000 (March 3, 2000) (pending).</w:t>
      </w:r>
    </w:p>
    <w:p>
      <w:pPr>
        <w:pStyle w:val="Text"/>
        <w:spacing w:lineRule="auto" w:line="480"/>
        <w:ind w:hanging="0" w:end="0"/>
        <w:rPr>
          <w:sz w:val="28"/>
          <w:szCs w:val="28"/>
        </w:rPr>
      </w:pPr>
      <w:r>
        <w:rPr>
          <w:sz w:val="28"/>
          <w:szCs w:val="28"/>
        </w:rPr>
        <w:t>[SER _____]</w:t>
      </w:r>
    </w:p>
    <w:p>
      <w:pPr>
        <w:pStyle w:val="Text"/>
        <w:spacing w:lineRule="auto" w:line="480" w:before="0" w:after="0"/>
        <w:ind w:firstLine="720" w:end="0"/>
        <w:rPr>
          <w:sz w:val="28"/>
          <w:szCs w:val="28"/>
        </w:rPr>
      </w:pPr>
      <w:r>
        <w:rPr>
          <w:sz w:val="28"/>
          <w:szCs w:val="28"/>
        </w:rPr>
        <w:t>TANC claims a contractual priority to power from the Northwest AC Intertie to which the Alturas Intertie is connected.  [AOB 11]  It further asserts that the Alturas Intertie reduces the capacity of TANC’s transmission facilities in California.  The vague language in TANC’s Agreement 1991 with Bonneville on which TANC relies for its claim to a fixed capacity states that the parties would construct and operate their facilities “so as to maximize Operational Transfer Capability to equal to the greatest extent practicable, the Rated Transfer Capability.”  [ER 132]  At no time, however, has TANC paid for a firm reservation of power over the Northwest AC Intertie in an amount sufficient to establish a priority over Alturas customers.  [ER 185</w:t>
        <w:noBreakHyphen/>
        <w:t>86]</w:t>
      </w:r>
    </w:p>
    <w:p>
      <w:pPr>
        <w:pStyle w:val="Text"/>
        <w:spacing w:lineRule="auto" w:line="480" w:before="0" w:after="0"/>
        <w:ind w:firstLine="720" w:end="0"/>
        <w:rPr>
          <w:sz w:val="28"/>
          <w:szCs w:val="28"/>
        </w:rPr>
      </w:pPr>
      <w:r>
        <w:rPr>
          <w:sz w:val="28"/>
          <w:szCs w:val="28"/>
        </w:rPr>
        <w:t>Payment has always been a requirement to reserve a firm capacity.  This principle is also embodied in FERC’s Order 888, issued in 1996, which requires existing owners of transmission lines to maintain open access to those lines.  FERC provides a remedy for TANC’s claim of reduced capacity, namely rate relief for any burdensome “unauthorized loop flows” that may arise from new parties interconnecting to an existing transmission line.  [ER 184-85]</w:t>
      </w:r>
    </w:p>
    <w:p>
      <w:pPr>
        <w:pStyle w:val="Text"/>
        <w:spacing w:lineRule="auto" w:line="480" w:before="0" w:after="0"/>
        <w:ind w:firstLine="720" w:end="0"/>
        <w:rPr>
          <w:sz w:val="28"/>
          <w:szCs w:val="28"/>
        </w:rPr>
      </w:pPr>
      <w:r>
        <w:rPr>
          <w:sz w:val="28"/>
          <w:szCs w:val="28"/>
        </w:rPr>
        <w:t>The interconnection and related agreements for the Alturas Intertie were filed with FERC in 1998 and allowed to go into effect over TANC’s motion for injunctive relief on February 26, 1999.  [ER 63]  The pending FERC proceeding involving TANC and Sierra Pacific referred to in the District Court’s Memorandum and Order [ER 170] resulted in an Initial Decision by FERC’s Administrative Law Judge (“ALJ”) on March 22, 2001, who issued the following Order approving the Alturas Intertie:</w:t>
      </w:r>
    </w:p>
    <w:p>
      <w:pPr>
        <w:pStyle w:val="Text"/>
        <w:ind w:hanging="0" w:start="1080" w:end="994"/>
        <w:rPr>
          <w:sz w:val="28"/>
          <w:szCs w:val="28"/>
        </w:rPr>
      </w:pPr>
      <w:r>
        <w:rPr>
          <w:sz w:val="28"/>
          <w:szCs w:val="28"/>
        </w:rPr>
        <w:t>IT IS ORDERED, subject to review by the Commission on exceptions or on its own motion, as provided by the Commission’s Rules of Practice and Procedure, that the Interconnection Agreement and the Operating Agreement related to the Alturas Intertie are approved, provided that no action shall be taken to increase the rated capacity of the Alturas Intertie above 300 MW except as part of a coordinated plan to provide sufficient generation and transmission services as will meet the needs of every portion of the Western Interconnection.</w:t>
      </w:r>
    </w:p>
    <w:p>
      <w:pPr>
        <w:pStyle w:val="Text"/>
        <w:spacing w:lineRule="auto" w:line="480" w:before="0" w:after="0"/>
        <w:ind w:hanging="0" w:end="0"/>
        <w:rPr>
          <w:sz w:val="28"/>
          <w:szCs w:val="28"/>
        </w:rPr>
      </w:pPr>
      <w:r>
        <w:rPr>
          <w:sz w:val="28"/>
          <w:szCs w:val="28"/>
        </w:rPr>
        <w:t>[Second Supplemental Request for Judicial Notice, 214</w:t>
        <w:noBreakHyphen/>
        <w:t xml:space="preserve">15] </w:t>
      </w:r>
    </w:p>
    <w:p>
      <w:pPr>
        <w:pStyle w:val="Text"/>
        <w:spacing w:lineRule="auto" w:line="480" w:before="0" w:after="0"/>
        <w:ind w:firstLine="720" w:end="0"/>
        <w:rPr/>
      </w:pPr>
      <w:r>
        <w:rPr>
          <w:sz w:val="28"/>
          <w:szCs w:val="28"/>
        </w:rPr>
        <w:t xml:space="preserve">In making his Order the ALJ found the Alturas Intertie does </w:t>
      </w:r>
      <w:r>
        <w:rPr>
          <w:sz w:val="28"/>
          <w:szCs w:val="28"/>
          <w:u w:val="single"/>
        </w:rPr>
        <w:t>not</w:t>
      </w:r>
      <w:r>
        <w:rPr>
          <w:sz w:val="28"/>
          <w:szCs w:val="28"/>
        </w:rPr>
        <w:t xml:space="preserve"> reduce capacity on the Northwest AC Intertie:</w:t>
      </w:r>
    </w:p>
    <w:p>
      <w:pPr>
        <w:pStyle w:val="Text"/>
        <w:spacing w:before="0" w:after="240"/>
        <w:ind w:hanging="0" w:start="1080" w:end="994"/>
        <w:rPr>
          <w:sz w:val="28"/>
          <w:szCs w:val="28"/>
        </w:rPr>
      </w:pPr>
      <w:r>
        <w:rPr>
          <w:sz w:val="28"/>
          <w:szCs w:val="28"/>
        </w:rPr>
        <w:t>“</w:t>
      </w:r>
      <w:r>
        <w:rPr>
          <w:sz w:val="28"/>
          <w:szCs w:val="28"/>
        </w:rPr>
        <w:t>The Alturas Intertie operating within its WSCC rating does not reduce the rated transfer capacity or operational capacity of any other transmission facility.”</w:t>
      </w:r>
    </w:p>
    <w:p>
      <w:pPr>
        <w:pStyle w:val="Text"/>
        <w:spacing w:lineRule="auto" w:line="480" w:before="0" w:after="0"/>
        <w:ind w:hanging="0" w:end="0"/>
        <w:rPr/>
      </w:pPr>
      <w:r>
        <w:rPr>
          <w:sz w:val="28"/>
          <w:szCs w:val="28"/>
        </w:rPr>
        <w:t>[</w:t>
      </w:r>
      <w:r>
        <w:rPr>
          <w:sz w:val="28"/>
          <w:szCs w:val="28"/>
          <w:u w:val="single"/>
        </w:rPr>
        <w:t>Id</w:t>
      </w:r>
      <w:r>
        <w:rPr>
          <w:sz w:val="28"/>
          <w:szCs w:val="28"/>
        </w:rPr>
        <w:t>., 44]</w:t>
      </w:r>
    </w:p>
    <w:p>
      <w:pPr>
        <w:pStyle w:val="Text"/>
        <w:spacing w:lineRule="auto" w:line="480"/>
        <w:ind w:end="-360"/>
        <w:rPr/>
      </w:pPr>
      <w:r>
        <w:rPr>
          <w:sz w:val="28"/>
          <w:szCs w:val="28"/>
        </w:rPr>
        <w:t xml:space="preserve">The ALJ also found that during the greatest power shortage in California history that TANC’s transmission capacity on the Northwest AC Intertie had </w:t>
      </w:r>
      <w:r>
        <w:rPr>
          <w:sz w:val="28"/>
          <w:szCs w:val="28"/>
          <w:u w:val="single"/>
        </w:rPr>
        <w:t>not</w:t>
      </w:r>
      <w:r>
        <w:rPr>
          <w:sz w:val="28"/>
          <w:szCs w:val="28"/>
        </w:rPr>
        <w:t xml:space="preserve"> been reduced:</w:t>
      </w:r>
    </w:p>
    <w:p>
      <w:pPr>
        <w:pStyle w:val="Text"/>
        <w:spacing w:before="0" w:after="240"/>
        <w:ind w:hanging="0" w:start="1080" w:end="994"/>
        <w:rPr>
          <w:sz w:val="28"/>
          <w:szCs w:val="28"/>
        </w:rPr>
      </w:pPr>
      <w:r>
        <w:rPr>
          <w:sz w:val="28"/>
          <w:szCs w:val="28"/>
        </w:rPr>
        <w:t>The California Utilities have identified only one occasion since commercial operation of the Alturas Intertie when a California Utility had to curtail load because firm transmission capacity on the Northwest AC Intertie was not available.  On that occasion non</w:t>
        <w:noBreakHyphen/>
        <w:t>firm transmission capacity was available.</w:t>
      </w:r>
    </w:p>
    <w:p>
      <w:pPr>
        <w:pStyle w:val="Text"/>
        <w:spacing w:lineRule="auto" w:line="480" w:before="0" w:after="0"/>
        <w:ind w:hanging="0" w:end="0"/>
        <w:rPr/>
      </w:pPr>
      <w:r>
        <w:rPr>
          <w:sz w:val="28"/>
          <w:szCs w:val="28"/>
        </w:rPr>
        <w:t>[</w:t>
      </w:r>
      <w:r>
        <w:rPr>
          <w:sz w:val="28"/>
          <w:szCs w:val="28"/>
          <w:u w:val="single"/>
        </w:rPr>
        <w:t>Id.</w:t>
      </w:r>
      <w:r>
        <w:rPr>
          <w:sz w:val="28"/>
          <w:szCs w:val="28"/>
        </w:rPr>
        <w:t xml:space="preserve"> At 71]  Exceptions have been filed with the Commission of the ALJ’s Order, so that the matter still is pending before FERC.  [Docket Nos. ER99-28-001; ER99-28-003; EL99-38-002; and ER99-945-002]</w:t>
      </w:r>
    </w:p>
    <w:p>
      <w:pPr>
        <w:pStyle w:val="Text"/>
        <w:spacing w:lineRule="auto" w:line="480" w:before="0" w:after="0"/>
        <w:ind w:firstLine="720" w:end="0"/>
        <w:rPr>
          <w:sz w:val="28"/>
          <w:szCs w:val="28"/>
        </w:rPr>
      </w:pPr>
      <w:r>
        <w:rPr>
          <w:sz w:val="28"/>
          <w:szCs w:val="28"/>
        </w:rPr>
        <w:t>On February 9, 2001 the District Court dismissed TANC’s First Amended Complaint on the grounds that “all of TANC’s claims are preempted by the Federal Power Act and the regulations issued pursuant to the Act by FERC.”  [ER 190]  This appeal followed.</w:t>
      </w:r>
    </w:p>
    <w:p>
      <w:pPr>
        <w:pStyle w:val="Text"/>
        <w:keepNext w:val="true"/>
        <w:widowControl w:val="false"/>
        <w:spacing w:before="0" w:after="240"/>
        <w:ind w:hanging="0" w:end="0"/>
        <w:jc w:val="center"/>
        <w:rPr/>
      </w:pPr>
      <w:r>
        <w:fldChar w:fldCharType="begin"/>
      </w:r>
      <w:r>
        <w:rPr>
          <w:sz w:val="28"/>
          <w:szCs w:val="28"/>
          <w:lang w:val="en-CA"/>
        </w:rPr>
        <w:instrText xml:space="preserve"> QUOTE "</w:instrText>
      </w:r>
      <w:bookmarkStart w:id="8" w:name="WCTOCLevel1Mark7in1BGZ04"/>
      <w:r>
        <w:rPr>
          <w:sz w:val="28"/>
          <w:szCs w:val="28"/>
          <w:lang w:val="en-CA"/>
        </w:rPr>
      </w:r>
      <w:r>
        <w:rPr>
          <w:sz w:val="28"/>
          <w:szCs w:val="28"/>
          <w:lang w:val="en-CA"/>
        </w:rPr>
        <w:fldChar w:fldCharType="separate"/>
      </w:r>
      <w:r>
        <w:rPr>
          <w:sz w:val="28"/>
          <w:szCs w:val="28"/>
          <w:lang w:val="en-CA"/>
        </w:rPr>
        <w:t>V.</w:t>
      </w:r>
      <w:r>
        <w:rPr>
          <w:sz w:val="28"/>
          <w:szCs w:val="28"/>
          <w:lang w:val="en-CA"/>
        </w:rPr>
      </w:r>
      <w:r>
        <w:rPr>
          <w:sz w:val="28"/>
          <w:szCs w:val="28"/>
          <w:lang w:val="en-CA"/>
        </w:rPr>
        <w:fldChar w:fldCharType="end"/>
      </w:r>
      <w:r>
        <w:rPr>
          <w:sz w:val="28"/>
          <w:szCs w:val="28"/>
        </w:rPr>
        <w:br/>
      </w:r>
      <w:r>
        <w:rPr>
          <w:sz w:val="28"/>
          <w:szCs w:val="28"/>
          <w:u w:val="single"/>
        </w:rPr>
        <w:t>SUMMARY OF ARGUMENT</w:t>
      </w:r>
      <w:bookmarkEnd w:id="8"/>
    </w:p>
    <w:p>
      <w:pPr>
        <w:pStyle w:val="Text"/>
        <w:spacing w:lineRule="auto" w:line="480" w:before="0" w:after="0"/>
        <w:ind w:firstLine="720" w:end="0"/>
        <w:rPr/>
      </w:pPr>
      <w:r>
        <w:rPr>
          <w:sz w:val="28"/>
          <w:szCs w:val="28"/>
        </w:rPr>
        <w:t xml:space="preserve">The Supremacy Clause bars TANC’s claims.  Through the Federal Power Act, Congress asserted exclusive federal jurisdiction over electric transmission services in interstate commerce. Congress’ assertion of exclusive federal jurisdiction extends to rates for electric transmission services as well as access to electric transmission services, </w:t>
      </w:r>
      <w:r>
        <w:rPr>
          <w:i/>
          <w:iCs/>
          <w:sz w:val="28"/>
          <w:szCs w:val="28"/>
        </w:rPr>
        <w:t>i.e.</w:t>
      </w:r>
      <w:r>
        <w:rPr>
          <w:sz w:val="28"/>
          <w:szCs w:val="28"/>
        </w:rPr>
        <w:t>, rights to obtain such service. Congress’ assertion of exclusive federal jurisdiction in these areas preempts actions under state law that would directly or indirectly alter federally-approved rates or that would establish or have the effect of establishing priorities to receive service.</w:t>
      </w:r>
    </w:p>
    <w:p>
      <w:pPr>
        <w:pStyle w:val="Text"/>
        <w:spacing w:lineRule="auto" w:line="480" w:before="0" w:after="0"/>
        <w:ind w:firstLine="720" w:end="0"/>
        <w:rPr>
          <w:sz w:val="28"/>
          <w:szCs w:val="28"/>
        </w:rPr>
      </w:pPr>
      <w:r>
        <w:rPr>
          <w:sz w:val="28"/>
          <w:szCs w:val="28"/>
        </w:rPr>
        <w:t>TANC’s “Artful Pleading” of federal claims under the guise of state causes of action cannot defeat FERC’s jurisdiction.  TANC implicitly seeks a determination – under state law – that California transmission owners have a superior right over Nevada customers to use the Northwest AC Intertie. The federal scheme leaves no room for such an inquiry. To use state law to determine access rights would contradict the very purpose of exclusive federal jurisdiction in this area by allowing parochial interests to affect the flow of electric power in interstate commerce.</w:t>
      </w:r>
    </w:p>
    <w:p>
      <w:pPr>
        <w:pStyle w:val="Text"/>
        <w:spacing w:lineRule="auto" w:line="480" w:before="0" w:after="0"/>
        <w:ind w:firstLine="720" w:end="0"/>
        <w:rPr/>
      </w:pPr>
      <w:r>
        <w:rPr>
          <w:sz w:val="28"/>
          <w:szCs w:val="28"/>
        </w:rPr>
        <w:t xml:space="preserve">TANC’s proposed state action also would frustrate specific provisions of federal law, including federal “open access” requirements. Those requirements expressly reject a service priority for pre-existing customers such as TANC and, instead, give </w:t>
      </w:r>
      <w:r>
        <w:rPr>
          <w:i/>
          <w:iCs/>
          <w:sz w:val="28"/>
          <w:szCs w:val="28"/>
        </w:rPr>
        <w:t>all</w:t>
      </w:r>
      <w:r>
        <w:rPr>
          <w:sz w:val="28"/>
          <w:szCs w:val="28"/>
        </w:rPr>
        <w:t xml:space="preserve"> customers an equal opportunity to seek service.  TANC’s assertion that open access requirements do not govern TANC’s grievance is itself a question for federal rather than state law – and is now pending before FERC.  It is impermissible, therefore, for state law to recognize TANC’s proposed priority to use the Northwest AC Intertie.</w:t>
      </w:r>
    </w:p>
    <w:p>
      <w:pPr>
        <w:pStyle w:val="Text"/>
        <w:spacing w:lineRule="auto" w:line="480" w:before="0" w:after="0"/>
        <w:ind w:firstLine="720" w:end="0"/>
        <w:rPr>
          <w:sz w:val="28"/>
          <w:szCs w:val="28"/>
        </w:rPr>
      </w:pPr>
      <w:r>
        <w:rPr>
          <w:sz w:val="28"/>
          <w:szCs w:val="28"/>
        </w:rPr>
        <w:t>TANC’s claims are not saved from preemption by the fact that it seeks monetary damages rather than an order directly allocating access to the Northwest AC Intertie. The form of remedy cannot imbue California with authority to make the underlying determination of whether California transmission owners have a superior right to use the Northwest AC Intertie.</w:t>
      </w:r>
    </w:p>
    <w:p>
      <w:pPr>
        <w:pStyle w:val="Text"/>
        <w:spacing w:lineRule="auto" w:line="480" w:before="0" w:after="0"/>
        <w:ind w:firstLine="720" w:end="0"/>
        <w:rPr>
          <w:sz w:val="28"/>
          <w:szCs w:val="28"/>
        </w:rPr>
      </w:pPr>
      <w:r>
        <w:rPr>
          <w:sz w:val="28"/>
          <w:szCs w:val="28"/>
        </w:rPr>
        <w:t>The proposed state law damages would amount to a penalty for compliance with federally-approved tariffs – a patently invalid result.  Damages would result in lower costs for TANC’s use of the Northwest AC Intertie than those in the FERC approved tariff.  Under the filed rate doctrine, no room exists in the federal scheme for state interference with the federally approved tariffs.</w:t>
      </w:r>
    </w:p>
    <w:p>
      <w:pPr>
        <w:pStyle w:val="Text"/>
        <w:spacing w:lineRule="auto" w:line="480" w:before="0" w:after="0"/>
        <w:ind w:firstLine="720" w:end="0"/>
        <w:rPr>
          <w:sz w:val="28"/>
          <w:szCs w:val="28"/>
        </w:rPr>
      </w:pPr>
      <w:r>
        <w:rPr>
          <w:sz w:val="28"/>
          <w:szCs w:val="28"/>
        </w:rPr>
        <w:t>TANC’s recourse is to pursue its grievance under federal law. Specifically with respect to TANC’s breach of contract claim, that claim could be raised in an initial proceeding before this court with respect to Bonneville and before FERC with respect to Pacificorp and Portland, in each case under federal rather than state law.</w:t>
      </w:r>
    </w:p>
    <w:p>
      <w:pPr>
        <w:pStyle w:val="Text"/>
        <w:spacing w:lineRule="auto" w:line="480" w:before="0" w:after="0"/>
        <w:ind w:firstLine="720" w:end="0"/>
        <w:rPr>
          <w:sz w:val="28"/>
          <w:szCs w:val="28"/>
        </w:rPr>
      </w:pPr>
      <w:r>
        <w:rPr>
          <w:sz w:val="28"/>
          <w:szCs w:val="28"/>
        </w:rPr>
        <w:t>FERC also provides a remedy for TANC’s allegedly reduced capacity.  FERC has recognized that because of the physical nature of electricity, all interconnections and the use of transmission facilities can have adverse effects on interconnected systems.  An owner of transmission that believes that its rights are  interfered with by such an interconnection may file a proposed tariff with FERC to be compensated by the owners whose systems interfere with its use of its own system.  TANC has already submitted the matter to FERC in the context of FERC’s review of the interconnection and operating agreements for the Alturas Intertie. It cannot press the same claims through state causes of action.</w:t>
      </w:r>
    </w:p>
    <w:p>
      <w:pPr>
        <w:pStyle w:val="Text"/>
        <w:keepNext w:val="true"/>
        <w:keepLines/>
        <w:spacing w:before="0" w:after="240"/>
        <w:ind w:hanging="0" w:end="0"/>
        <w:jc w:val="center"/>
        <w:rPr/>
      </w:pPr>
      <w:r>
        <w:fldChar w:fldCharType="begin"/>
      </w:r>
      <w:r>
        <w:rPr>
          <w:sz w:val="28"/>
          <w:szCs w:val="28"/>
          <w:lang w:val="en-CA"/>
        </w:rPr>
        <w:instrText xml:space="preserve"> QUOTE "</w:instrText>
      </w:r>
      <w:bookmarkStart w:id="9" w:name="WCTOCLevel1Mark2in1BGZ04"/>
      <w:r>
        <w:rPr>
          <w:sz w:val="28"/>
          <w:szCs w:val="28"/>
          <w:lang w:val="en-CA"/>
        </w:rPr>
      </w:r>
      <w:r>
        <w:rPr>
          <w:sz w:val="28"/>
          <w:szCs w:val="28"/>
          <w:lang w:val="en-CA"/>
        </w:rPr>
        <w:fldChar w:fldCharType="separate"/>
      </w:r>
      <w:r>
        <w:rPr>
          <w:sz w:val="28"/>
          <w:szCs w:val="28"/>
          <w:lang w:val="en-CA"/>
        </w:rPr>
        <w:t>VI.</w:t>
      </w:r>
      <w:r>
        <w:rPr>
          <w:sz w:val="28"/>
          <w:szCs w:val="28"/>
          <w:lang w:val="en-CA"/>
        </w:rPr>
      </w:r>
      <w:r>
        <w:rPr>
          <w:sz w:val="28"/>
          <w:szCs w:val="28"/>
          <w:lang w:val="en-CA"/>
        </w:rPr>
        <w:fldChar w:fldCharType="end"/>
      </w:r>
      <w:r>
        <w:rPr>
          <w:sz w:val="28"/>
          <w:szCs w:val="28"/>
        </w:rPr>
        <w:br/>
      </w:r>
      <w:r>
        <w:rPr>
          <w:sz w:val="28"/>
          <w:szCs w:val="28"/>
          <w:u w:val="single"/>
        </w:rPr>
        <w:t>ARGUMENT</w:t>
      </w:r>
      <w:bookmarkEnd w:id="9"/>
    </w:p>
    <w:p>
      <w:pPr>
        <w:pStyle w:val="Text"/>
        <w:ind w:hanging="720" w:start="1440" w:end="720"/>
        <w:rPr>
          <w:sz w:val="28"/>
          <w:szCs w:val="28"/>
          <w:u w:val="single"/>
        </w:rPr>
      </w:pPr>
      <w:r>
        <w:fldChar w:fldCharType="begin"/>
      </w:r>
      <w:r>
        <w:rPr>
          <w:sz w:val="28"/>
          <w:b/>
          <w:szCs w:val="28"/>
          <w:bCs/>
          <w:lang w:val="en-CA"/>
        </w:rPr>
        <w:instrText xml:space="preserve"> QUOTE "</w:instrText>
      </w:r>
      <w:bookmarkStart w:id="10" w:name="WCTOCLevel2Mark1in1BGZ04"/>
      <w:r>
        <w:rPr>
          <w:b/>
          <w:bCs/>
          <w:sz w:val="28"/>
          <w:szCs w:val="28"/>
          <w:lang w:val="en-CA"/>
        </w:rPr>
      </w:r>
      <w:r>
        <w:rPr>
          <w:sz w:val="28"/>
          <w:b/>
          <w:szCs w:val="28"/>
          <w:bCs/>
          <w:lang w:val="en-CA"/>
        </w:rPr>
        <w:fldChar w:fldCharType="separate"/>
      </w:r>
      <w:r>
        <w:rPr>
          <w:b/>
          <w:bCs/>
          <w:sz w:val="28"/>
          <w:szCs w:val="28"/>
          <w:lang w:val="en-CA"/>
        </w:rPr>
        <w:t>A.</w:t>
      </w:r>
      <w:r>
        <w:rPr>
          <w:b/>
          <w:bCs/>
          <w:sz w:val="28"/>
          <w:szCs w:val="28"/>
          <w:lang w:val="en-CA"/>
        </w:rPr>
      </w:r>
      <w:r>
        <w:rPr>
          <w:sz w:val="28"/>
          <w:b/>
          <w:szCs w:val="28"/>
          <w:bCs/>
          <w:lang w:val="en-CA"/>
        </w:rPr>
        <w:fldChar w:fldCharType="end"/>
      </w:r>
      <w:r>
        <w:rPr>
          <w:b/>
          <w:bCs/>
          <w:sz w:val="28"/>
          <w:szCs w:val="28"/>
        </w:rPr>
        <w:tab/>
        <w:t>FEDERAL PREEMPTION BARS TANC’S STATE LAW CLAIMS</w:t>
      </w:r>
      <w:bookmarkEnd w:id="10"/>
      <w:r>
        <w:rPr>
          <w:b/>
          <w:bCs/>
          <w:sz w:val="28"/>
          <w:szCs w:val="28"/>
        </w:rPr>
        <w:t>.</w:t>
      </w:r>
    </w:p>
    <w:p>
      <w:pPr>
        <w:pStyle w:val="Text"/>
        <w:spacing w:lineRule="auto" w:line="480" w:before="0" w:after="0"/>
        <w:ind w:firstLine="720" w:end="0"/>
        <w:rPr>
          <w:sz w:val="28"/>
          <w:szCs w:val="28"/>
        </w:rPr>
      </w:pPr>
      <w:r>
        <w:rPr>
          <w:sz w:val="28"/>
          <w:szCs w:val="28"/>
        </w:rPr>
        <w:t>As recognized by the District Court, TANC’s claim impermissibly violates the Supremacy Clause by using state law to interfere with electric transmission services in interstate commerce.  The weakness of TANC’s case is shown by the fact that it ignores the Federal Power Act, refusing to cite a single section of that Act in its brief.  The Act, however, is the relevant law that preempts TANC’s claims.</w:t>
      </w:r>
    </w:p>
    <w:p>
      <w:pPr>
        <w:pStyle w:val="Text"/>
        <w:spacing w:lineRule="auto" w:line="480" w:before="0" w:after="0"/>
        <w:ind w:firstLine="720" w:end="0"/>
        <w:rPr>
          <w:sz w:val="28"/>
          <w:szCs w:val="28"/>
        </w:rPr>
      </w:pPr>
      <w:r>
        <w:rPr>
          <w:sz w:val="28"/>
          <w:szCs w:val="28"/>
        </w:rPr>
        <w:t>The Supremacy Clause of the United States Constitution provides that the laws of the United States “shall be the supreme law of the Land . . . anything in the Constitution or laws of any state to the contrary notwithstanding.”  Const., Art. VI, Section __.</w:t>
      </w:r>
    </w:p>
    <w:p>
      <w:pPr>
        <w:pStyle w:val="Text"/>
        <w:spacing w:lineRule="auto" w:line="480" w:before="0" w:after="0"/>
        <w:ind w:firstLine="720" w:end="0"/>
        <w:rPr>
          <w:sz w:val="28"/>
          <w:szCs w:val="28"/>
        </w:rPr>
      </w:pPr>
      <w:r>
        <w:rPr>
          <w:sz w:val="28"/>
          <w:szCs w:val="28"/>
        </w:rPr>
        <w:t>By its terms, the Federal Power Act preempts state interference with the sale or transmission of power in interstate commerce.  Section 201 of the Federal Power Act provides in pertinent part as follows:</w:t>
      </w:r>
    </w:p>
    <w:p>
      <w:pPr>
        <w:pStyle w:val="Text"/>
        <w:spacing w:lineRule="auto" w:line="480" w:before="0" w:after="0"/>
        <w:ind w:hanging="0" w:start="720" w:end="720"/>
        <w:rPr/>
      </w:pPr>
      <w:r>
        <w:rPr>
          <w:sz w:val="28"/>
          <w:szCs w:val="28"/>
        </w:rPr>
        <w:t>“</w:t>
      </w:r>
      <w:r>
        <w:rPr>
          <w:sz w:val="28"/>
          <w:szCs w:val="28"/>
        </w:rPr>
        <w:t xml:space="preserve">Section 201.  (a) It is hereby declared that the business of transmitting and selling electric energy for ultimate distribution to the public is affected with a public interest, and that </w:t>
      </w:r>
      <w:r>
        <w:rPr>
          <w:sz w:val="28"/>
          <w:szCs w:val="28"/>
          <w:u w:val="single"/>
        </w:rPr>
        <w:t>Federal regulation of matters relating to generation to the extent provided</w:t>
      </w:r>
      <w:r>
        <w:rPr>
          <w:sz w:val="28"/>
          <w:szCs w:val="28"/>
        </w:rPr>
        <w:t xml:space="preserve"> in this Part and the Part next following </w:t>
      </w:r>
      <w:r>
        <w:rPr>
          <w:sz w:val="28"/>
          <w:szCs w:val="28"/>
          <w:u w:val="single"/>
        </w:rPr>
        <w:t>and of that part of such business which consists of the transmission of electric energy in interstate commerce and the sale of such energy at wholesale in interstate commerce is necessary in the public interest</w:t>
      </w:r>
      <w:r>
        <w:rPr>
          <w:sz w:val="28"/>
          <w:szCs w:val="28"/>
        </w:rPr>
        <w:t>, such Federal regulation, however, to extend only to those matters which are not subject to regulation by the States.</w:t>
      </w:r>
    </w:p>
    <w:p>
      <w:pPr>
        <w:pStyle w:val="Text"/>
        <w:spacing w:lineRule="auto" w:line="480" w:before="0" w:after="0"/>
        <w:ind w:firstLine="720" w:start="720" w:end="720"/>
        <w:rPr>
          <w:sz w:val="28"/>
          <w:szCs w:val="28"/>
        </w:rPr>
      </w:pPr>
      <w:r>
        <w:rPr>
          <w:sz w:val="28"/>
          <w:szCs w:val="28"/>
        </w:rPr>
        <w:t>(b)(1)  The provisions of this Part shall apply to the transmission of electric energy in interstate commerce and to the sale of electric energy at wholesale in interstate commerce, . . .”</w:t>
      </w:r>
    </w:p>
    <w:p>
      <w:pPr>
        <w:pStyle w:val="Text"/>
        <w:spacing w:lineRule="auto" w:line="480"/>
        <w:ind w:hanging="0" w:end="0"/>
        <w:rPr>
          <w:sz w:val="28"/>
          <w:szCs w:val="28"/>
        </w:rPr>
      </w:pPr>
      <w:r>
        <w:rPr>
          <w:sz w:val="28"/>
          <w:szCs w:val="28"/>
        </w:rPr>
        <w:t>16 U.S.C. § 824(a)-(b)(1)(emphasis added).</w:t>
      </w:r>
    </w:p>
    <w:p>
      <w:pPr>
        <w:pStyle w:val="Text"/>
        <w:spacing w:lineRule="auto" w:line="480" w:before="0" w:after="0"/>
        <w:ind w:firstLine="720" w:end="0"/>
        <w:rPr>
          <w:sz w:val="28"/>
          <w:szCs w:val="28"/>
        </w:rPr>
      </w:pPr>
      <w:r>
        <w:rPr>
          <w:sz w:val="28"/>
          <w:szCs w:val="28"/>
        </w:rPr>
        <w:t>Section 206 of the Federal Power Act provides solely for FERC to prescribe such “just and reasonable” wholesale power and transmission rates and practices:</w:t>
      </w:r>
    </w:p>
    <w:p>
      <w:pPr>
        <w:pStyle w:val="Text"/>
        <w:spacing w:lineRule="auto" w:line="480" w:before="0" w:after="0"/>
        <w:ind w:hanging="0" w:start="720" w:end="720"/>
        <w:rPr/>
      </w:pPr>
      <w:r>
        <w:rPr>
          <w:sz w:val="28"/>
          <w:szCs w:val="28"/>
        </w:rPr>
        <w:t>“</w:t>
      </w:r>
      <w:r>
        <w:rPr>
          <w:sz w:val="28"/>
          <w:szCs w:val="28"/>
        </w:rPr>
        <w:t xml:space="preserve">SEC. 206.  (a)  Whenever the Commission, after a hearing had upon its own motion or upon complaint, shall find that any rate charges, or classification demanded, observed, charged, or collected by any public utility for any </w:t>
      </w:r>
      <w:r>
        <w:rPr>
          <w:sz w:val="28"/>
          <w:szCs w:val="28"/>
          <w:u w:val="single"/>
        </w:rPr>
        <w:t>transmission</w:t>
      </w:r>
      <w:r>
        <w:rPr>
          <w:sz w:val="28"/>
          <w:szCs w:val="28"/>
        </w:rPr>
        <w:t xml:space="preserve"> or sale subject to the jurisdiction of the Commission, or that any rule, regulation, practice or contract affecting such rate, charge, or classification is unjust, unreasonable, unduly discriminatory or preferential, the Commission shall determine the just and reasonable rate, charge, classification, rule, regulation, practice, or contract to be thereafter observed and in force, and shall fix the same by order.”</w:t>
      </w:r>
    </w:p>
    <w:p>
      <w:pPr>
        <w:pStyle w:val="Text"/>
        <w:spacing w:lineRule="auto" w:line="480" w:before="0" w:after="0"/>
        <w:ind w:hanging="720" w:start="720" w:end="0"/>
        <w:rPr>
          <w:sz w:val="28"/>
          <w:szCs w:val="28"/>
        </w:rPr>
      </w:pPr>
      <w:r>
        <w:rPr>
          <w:sz w:val="28"/>
          <w:szCs w:val="28"/>
        </w:rPr>
        <w:t>16 U.S.C. 824e(a) (emphasis added).</w:t>
      </w:r>
    </w:p>
    <w:p>
      <w:pPr>
        <w:pStyle w:val="Text"/>
        <w:spacing w:lineRule="auto" w:line="480" w:before="0" w:after="0"/>
        <w:ind w:firstLine="720" w:end="0"/>
        <w:rPr/>
      </w:pPr>
      <w:r>
        <w:rPr>
          <w:sz w:val="28"/>
          <w:szCs w:val="28"/>
        </w:rPr>
        <w:t>The delegation of exclusive authority to the FERC is central to the Congressional scheme of uniform regulation.  As Congress noted in enacting the FPA, concurrent state involvement would stand as an obstacle to the development of an industry that, by its nature, is unavoidably interstate in character.  Senate Report 621, 74</w:t>
      </w:r>
      <w:r>
        <w:rPr>
          <w:sz w:val="28"/>
          <w:szCs w:val="28"/>
          <w:vertAlign w:val="superscript"/>
        </w:rPr>
        <w:t>th</w:t>
      </w:r>
      <w:r>
        <w:rPr>
          <w:sz w:val="28"/>
          <w:szCs w:val="28"/>
        </w:rPr>
        <w:t xml:space="preserve"> Cong. 1</w:t>
      </w:r>
      <w:r>
        <w:rPr>
          <w:sz w:val="28"/>
          <w:szCs w:val="28"/>
          <w:vertAlign w:val="superscript"/>
        </w:rPr>
        <w:t>st</w:t>
      </w:r>
      <w:r>
        <w:rPr>
          <w:sz w:val="28"/>
          <w:szCs w:val="28"/>
        </w:rPr>
        <w:t xml:space="preserve"> Sess. 17, 48 (“It is obvious that no steps can be taken to secure the planned coordination of this industry on a regional scale unless all of the facilities, other than those used solely for retail distribution are made subject to the jurisdiction of the Commission.”)</w:t>
      </w:r>
    </w:p>
    <w:p>
      <w:pPr>
        <w:pStyle w:val="Text"/>
        <w:spacing w:lineRule="auto" w:line="480" w:before="0" w:after="0"/>
        <w:ind w:firstLine="720" w:end="0"/>
        <w:rPr/>
      </w:pPr>
      <w:r>
        <w:rPr>
          <w:sz w:val="28"/>
          <w:szCs w:val="28"/>
        </w:rPr>
        <w:t>The interstate nature of wholesale electricity sales -- and thus the pressing need for uniform regulation free of state interference</w:t>
      </w:r>
      <w:r>
        <w:rPr/>
        <w:t> -- </w:t>
      </w:r>
      <w:r>
        <w:rPr>
          <w:sz w:val="28"/>
          <w:szCs w:val="28"/>
        </w:rPr>
        <w:t>is even more pronounced today.  Recent events -- including the increased import and export of power among the western states -- provide</w:t>
      </w:r>
    </w:p>
    <w:p>
      <w:pPr>
        <w:pStyle w:val="Text1"/>
        <w:spacing w:before="0" w:after="240"/>
        <w:ind w:end="720"/>
        <w:rPr/>
      </w:pPr>
      <w:r>
        <w:rPr/>
        <w:t>dramatic evidence of the interstate nature of electric systems and markets in the Western Interconnection.  California is not an electrical island. . . .  [T]the operation of the California electricity market can affect prices throughout the entire Western Interconnection.</w:t>
      </w:r>
    </w:p>
    <w:p>
      <w:pPr>
        <w:pStyle w:val="Text"/>
        <w:spacing w:lineRule="auto" w:line="480" w:before="0" w:after="0"/>
        <w:ind w:hanging="0" w:end="0"/>
        <w:rPr>
          <w:sz w:val="28"/>
          <w:szCs w:val="28"/>
        </w:rPr>
      </w:pPr>
      <w:r>
        <w:rPr>
          <w:sz w:val="28"/>
          <w:szCs w:val="28"/>
        </w:rPr>
        <w:t>Order Proposing Remedies for California Wholesale Markets, 93 FERC 61, 121 at 61, 357-58 (November 1, 2000).</w:t>
      </w:r>
    </w:p>
    <w:p>
      <w:pPr>
        <w:pStyle w:val="Text"/>
        <w:spacing w:lineRule="auto" w:line="480" w:before="0" w:after="0"/>
        <w:ind w:firstLine="720" w:end="0"/>
        <w:rPr>
          <w:sz w:val="28"/>
          <w:szCs w:val="28"/>
        </w:rPr>
      </w:pPr>
      <w:r>
        <w:rPr>
          <w:sz w:val="28"/>
          <w:szCs w:val="28"/>
        </w:rPr>
        <w:t>The conclusion of preemption flows unavoidably from the language and structure of the Federal Power Act.  By drawing a “bright line” between federal and state authority, Congress entirely excluded states from the field and rendered unnecessary any type of case-by-case analysis:</w:t>
      </w:r>
    </w:p>
    <w:p>
      <w:pPr>
        <w:pStyle w:val="Text1"/>
        <w:spacing w:before="0" w:after="240"/>
        <w:ind w:end="720"/>
        <w:rPr/>
      </w:pPr>
      <w:r>
        <w:rPr/>
        <w:t>[O]ur decisions have squarely rejected the view . . . that the scope of FPC [now, FERC] jurisdiction over interstate sales of gas or electricity at wholesale is to be determined by a case-by-case analysis of the impact of state regulation upon the national interest.  Rather, Congress meant to draw a bright line easily ascertained between state and federal jurisdiction, making unnecessary such case-by-case analysis.  This was done in the Power Act by making FPC jurisdiction plenary and extending it to all wholesale sales in interstate commerce except those which Congress explicitly made subject to regulation by the States.</w:t>
      </w:r>
    </w:p>
    <w:p>
      <w:pPr>
        <w:pStyle w:val="Text"/>
        <w:spacing w:lineRule="auto" w:line="480"/>
        <w:ind w:hanging="0" w:end="0"/>
        <w:rPr/>
      </w:pPr>
      <w:r>
        <w:rPr>
          <w:sz w:val="28"/>
          <w:szCs w:val="28"/>
          <w:u w:val="single"/>
        </w:rPr>
        <w:t>Nantahala Power &amp; Light Co. V. Thornburg</w:t>
      </w:r>
      <w:r>
        <w:rPr>
          <w:sz w:val="28"/>
          <w:szCs w:val="28"/>
        </w:rPr>
        <w:t xml:space="preserve">, 476 U.S. at 966 (quoting </w:t>
      </w:r>
      <w:r>
        <w:rPr>
          <w:sz w:val="28"/>
          <w:szCs w:val="28"/>
          <w:u w:val="single"/>
        </w:rPr>
        <w:t>FPC v. Southern California Edison Co.</w:t>
      </w:r>
      <w:r>
        <w:rPr>
          <w:sz w:val="28"/>
          <w:szCs w:val="28"/>
        </w:rPr>
        <w:t>, 376 U.S. 205, 215-16, 11 L.Ed.2d 638, 84 S.Ct. 644 (1964).</w:t>
      </w:r>
    </w:p>
    <w:p>
      <w:pPr>
        <w:pStyle w:val="Text"/>
        <w:spacing w:lineRule="auto" w:line="480" w:before="0" w:after="0"/>
        <w:ind w:firstLine="720" w:end="0"/>
        <w:rPr>
          <w:sz w:val="28"/>
          <w:szCs w:val="28"/>
        </w:rPr>
      </w:pPr>
      <w:r>
        <w:rPr>
          <w:sz w:val="28"/>
          <w:szCs w:val="28"/>
        </w:rPr>
        <w:t xml:space="preserve">Because Congress has reserved the field of interstate power regulation exclusively to the FERC, the Supreme Court has repeatedly held that federal law preempts any state regulation of matters related to wholesale power, especially anything connected to wholesale rates or transmission of power.  </w:t>
      </w:r>
      <w:r>
        <w:rPr>
          <w:sz w:val="28"/>
          <w:szCs w:val="28"/>
          <w:u w:val="single"/>
        </w:rPr>
        <w:t>See</w:t>
      </w:r>
      <w:r>
        <w:rPr>
          <w:sz w:val="28"/>
          <w:szCs w:val="28"/>
        </w:rPr>
        <w:t xml:space="preserve">, </w:t>
      </w:r>
      <w:r>
        <w:rPr>
          <w:sz w:val="28"/>
          <w:szCs w:val="28"/>
          <w:u w:val="single"/>
        </w:rPr>
        <w:t>e.g.</w:t>
      </w:r>
      <w:r>
        <w:rPr>
          <w:sz w:val="28"/>
          <w:szCs w:val="28"/>
        </w:rPr>
        <w:t xml:space="preserve">, </w:t>
      </w:r>
      <w:r>
        <w:rPr>
          <w:sz w:val="28"/>
          <w:szCs w:val="28"/>
          <w:u w:val="single"/>
        </w:rPr>
        <w:t>Nanatahala</w:t>
      </w:r>
      <w:r>
        <w:rPr>
          <w:sz w:val="28"/>
          <w:szCs w:val="28"/>
        </w:rPr>
        <w:t xml:space="preserve">. 476 U.S. at 966 (holding that state regulatory action was preempted where such action affected rates within the FERC’s jurisdiction); </w:t>
      </w:r>
      <w:r>
        <w:rPr>
          <w:sz w:val="28"/>
          <w:szCs w:val="28"/>
          <w:u w:val="single"/>
        </w:rPr>
        <w:t>Mississippi Power &amp; Light Co. v. Mississippi</w:t>
      </w:r>
      <w:r>
        <w:rPr>
          <w:sz w:val="28"/>
          <w:szCs w:val="28"/>
        </w:rPr>
        <w:t xml:space="preserve">, 487 U.S. 354, 371, 101 L.Ed.2d 322, 108 S.Ct. 2428 (1988) (concluding that state proceedings affecting interstate rates were preempted because the “FERC has the exclusive authority to determine the reasonableness of wholesale rates”); </w:t>
      </w:r>
      <w:r>
        <w:rPr>
          <w:sz w:val="28"/>
          <w:szCs w:val="28"/>
          <w:u w:val="single"/>
        </w:rPr>
        <w:t>Schneidewind</w:t>
      </w:r>
      <w:r>
        <w:rPr>
          <w:sz w:val="28"/>
          <w:szCs w:val="28"/>
        </w:rPr>
        <w:t>, 485 U.S. at 305 (Natural Gas Act occupied the field of wholesale sales and transportation of natural gas so as to preempt a state law regulating the issuance of securities by natural gas companies).</w:t>
      </w:r>
      <w:r>
        <w:rPr>
          <w:rStyle w:val="FootnoteCharacters"/>
          <w:rStyle w:val="FootnoteReference"/>
        </w:rPr>
        <w:footnoteReference w:id="4"/>
      </w:r>
    </w:p>
    <w:p>
      <w:pPr>
        <w:pStyle w:val="Text"/>
        <w:spacing w:lineRule="auto" w:line="480" w:before="0" w:after="0"/>
        <w:ind w:firstLine="720" w:end="0"/>
        <w:rPr/>
      </w:pPr>
      <w:r>
        <w:rPr>
          <w:sz w:val="28"/>
          <w:szCs w:val="28"/>
        </w:rPr>
        <w:t xml:space="preserve">Moreover, because the bright line rule precludes the need for case-by-case analysis, TANC cannot escape preemption by arguing that its claim is somehow consistent with federal regulation.  In </w:t>
      </w:r>
      <w:r>
        <w:rPr>
          <w:sz w:val="28"/>
          <w:szCs w:val="28"/>
          <w:u w:val="single"/>
        </w:rPr>
        <w:t>Arkansas Louisiana Gas Co. v. Hall</w:t>
      </w:r>
      <w:r>
        <w:rPr>
          <w:sz w:val="28"/>
          <w:szCs w:val="28"/>
        </w:rPr>
        <w:t xml:space="preserve">, 453 U.S. 571, 578-79, 69 L.Ed.2d 856, 101 S.Ct. 2925 (1981), for example, the plaintiff tried to avoid preemption of its state law contract claim.  The plaintiff argued that “no federal interests” were affected -- and thus that the damages award did not invade the FERC’s exclusive jurisdiction -- because the award simply represented damages for breach of contract.  453 U.S. at 579.  The Supreme Court rejected this attempted distinction, holding that “when Congress has established an exclusive form of regulation, there can be no divided authority over interstate commerce.”  </w:t>
      </w:r>
      <w:r>
        <w:rPr>
          <w:sz w:val="28"/>
          <w:szCs w:val="28"/>
          <w:u w:val="single"/>
        </w:rPr>
        <w:t>Id</w:t>
      </w:r>
      <w:r>
        <w:rPr>
          <w:sz w:val="28"/>
          <w:szCs w:val="28"/>
        </w:rPr>
        <w:t>. At 579-580.</w:t>
      </w:r>
    </w:p>
    <w:p>
      <w:pPr>
        <w:pStyle w:val="Text"/>
        <w:spacing w:lineRule="auto" w:line="480" w:before="0" w:after="0"/>
        <w:ind w:firstLine="720" w:end="0"/>
        <w:rPr>
          <w:sz w:val="28"/>
          <w:szCs w:val="28"/>
        </w:rPr>
      </w:pPr>
      <w:r>
        <w:rPr>
          <w:sz w:val="28"/>
          <w:szCs w:val="28"/>
        </w:rPr>
        <w:t>Exclusive FERC regulation, therefore, extends to any issue involving transmission of interstate power in interstate commerce, which is precisely the issue in this case.  TANC’s proposed state law action would impermissibly interfere with the movement of electric power in interstate commerce.</w:t>
      </w:r>
    </w:p>
    <w:p>
      <w:pPr>
        <w:pStyle w:val="Text"/>
        <w:spacing w:lineRule="auto" w:line="480" w:before="0" w:after="0"/>
        <w:ind w:firstLine="720" w:end="0"/>
        <w:rPr/>
      </w:pPr>
      <w:r>
        <w:rPr>
          <w:sz w:val="28"/>
          <w:szCs w:val="28"/>
        </w:rPr>
        <w:t xml:space="preserve">In </w:t>
      </w:r>
      <w:r>
        <w:rPr>
          <w:sz w:val="28"/>
          <w:szCs w:val="28"/>
          <w:u w:val="single"/>
        </w:rPr>
        <w:t>New England Power Co. v. New Hamphire</w:t>
      </w:r>
      <w:r>
        <w:rPr>
          <w:sz w:val="28"/>
          <w:szCs w:val="28"/>
        </w:rPr>
        <w:t xml:space="preserve">, 455 U.S. 331 (1982), the United States Supreme Court emphatically rejected a state’s attempt to limit the flow of electric power in favor of that state.  There, a state regulator in New Hampshire prohibited the transfer of electric power from New Hampshire into Vermont.  </w:t>
      </w:r>
      <w:r>
        <w:rPr>
          <w:sz w:val="28"/>
          <w:szCs w:val="28"/>
          <w:u w:val="single"/>
        </w:rPr>
        <w:t>Id</w:t>
      </w:r>
      <w:r>
        <w:rPr>
          <w:sz w:val="28"/>
          <w:szCs w:val="28"/>
        </w:rPr>
        <w:t xml:space="preserve">. at 335-36. The Court invalidated that state action as impermissibly interfering with the flow of electric energy in interstate commerce, reasoning that New Hampshire’s action violated both the Federal Power Act and the Commerce Clause of the United States Constitution.  </w:t>
      </w:r>
      <w:r>
        <w:rPr>
          <w:sz w:val="28"/>
          <w:szCs w:val="28"/>
          <w:u w:val="single"/>
        </w:rPr>
        <w:t>Id</w:t>
      </w:r>
      <w:r>
        <w:rPr>
          <w:sz w:val="28"/>
          <w:szCs w:val="28"/>
        </w:rPr>
        <w:t>. at 341.</w:t>
      </w:r>
    </w:p>
    <w:p>
      <w:pPr>
        <w:pStyle w:val="Text"/>
        <w:spacing w:lineRule="auto" w:line="480" w:before="0" w:after="0"/>
        <w:ind w:firstLine="720" w:end="0"/>
        <w:rPr/>
      </w:pPr>
      <w:r>
        <w:rPr>
          <w:sz w:val="28"/>
          <w:szCs w:val="28"/>
        </w:rPr>
        <w:t>The state law action proposed here -- adjudication of whether California customers have a priority over Nevada customers in using electric transmission services in Oregon and Washington -- would have precisely the same impermissible effect on a matter overwhelmingly infused with federal interest. The very purpose of TANC’s state law claims is to impose damages under California law for actions that might lead to the transfer of electric power from the Pacific Northwest into Nevada rather than California.</w:t>
      </w:r>
      <w:r>
        <w:rPr>
          <w:rStyle w:val="FootnoteCharacters"/>
          <w:rStyle w:val="FootnoteReference"/>
        </w:rPr>
        <w:footnoteReference w:id="5"/>
      </w:r>
      <w:r>
        <w:rPr>
          <w:sz w:val="28"/>
          <w:szCs w:val="28"/>
        </w:rPr>
        <w:t xml:space="preserve"> </w:t>
      </w:r>
      <w:r>
        <w:rPr>
          <w:sz w:val="28"/>
          <w:szCs w:val="28"/>
          <w:u w:val="single"/>
        </w:rPr>
        <w:t>See</w:t>
      </w:r>
      <w:r>
        <w:rPr>
          <w:sz w:val="28"/>
          <w:szCs w:val="28"/>
        </w:rPr>
        <w:t> </w:t>
      </w:r>
      <w:r>
        <w:rPr>
          <w:sz w:val="28"/>
          <w:szCs w:val="28"/>
          <w:u w:val="single"/>
        </w:rPr>
        <w:t>id.</w:t>
      </w:r>
      <w:r>
        <w:rPr>
          <w:sz w:val="28"/>
          <w:szCs w:val="28"/>
        </w:rPr>
        <w:t xml:space="preserve"> at 339.</w:t>
      </w:r>
    </w:p>
    <w:p>
      <w:pPr>
        <w:pStyle w:val="Text"/>
        <w:spacing w:lineRule="auto" w:line="480" w:before="0" w:after="0"/>
        <w:ind w:firstLine="720" w:end="0"/>
        <w:rPr/>
      </w:pPr>
      <w:r>
        <w:rPr>
          <w:sz w:val="28"/>
          <w:szCs w:val="28"/>
        </w:rPr>
        <w:t xml:space="preserve">Consistent with </w:t>
      </w:r>
      <w:r>
        <w:rPr>
          <w:sz w:val="28"/>
          <w:szCs w:val="28"/>
          <w:u w:val="single"/>
        </w:rPr>
        <w:t>New England Power Co.</w:t>
      </w:r>
      <w:r>
        <w:rPr>
          <w:sz w:val="28"/>
          <w:szCs w:val="28"/>
        </w:rPr>
        <w:t xml:space="preserve">, a state cannot thus burden the flow of electric power in interstate commerce, whether by finding that Nevada’s “interference” with use of the Northwest AC Intertie violates California property law, tort law, or contract law. In short, even before turning to specific conflicts between TANC’s proposed state law action and federal jurisdiction, it is clear that the state law action is invalid and that TANC’s grievance concerning interstate transmission facilities is governed solely by federal law. </w:t>
      </w:r>
      <w:r>
        <w:rPr>
          <w:sz w:val="28"/>
          <w:szCs w:val="28"/>
          <w:u w:val="single"/>
        </w:rPr>
        <w:t>See</w:t>
      </w:r>
      <w:r>
        <w:rPr>
          <w:sz w:val="28"/>
          <w:szCs w:val="28"/>
        </w:rPr>
        <w:t xml:space="preserve"> </w:t>
      </w:r>
      <w:r>
        <w:rPr>
          <w:sz w:val="28"/>
          <w:szCs w:val="28"/>
          <w:u w:val="single"/>
        </w:rPr>
        <w:t>Fed. Power Comm’n v. Transcontinental Gas Pipeline</w:t>
      </w:r>
      <w:r>
        <w:rPr>
          <w:sz w:val="28"/>
          <w:szCs w:val="28"/>
        </w:rPr>
        <w:t>, 365 U.S. 1 (1961) (preemption occurs where state law stands as an obstacle to full accomplishment of federal objectives).</w:t>
      </w:r>
    </w:p>
    <w:p>
      <w:pPr>
        <w:pStyle w:val="Text"/>
        <w:spacing w:lineRule="auto" w:line="480" w:before="0" w:after="0"/>
        <w:ind w:firstLine="720" w:end="0"/>
        <w:rPr/>
      </w:pPr>
      <w:r>
        <w:rPr>
          <w:sz w:val="28"/>
          <w:szCs w:val="28"/>
        </w:rPr>
        <w:t xml:space="preserve">By analogy, in </w:t>
      </w:r>
      <w:r>
        <w:rPr>
          <w:sz w:val="28"/>
          <w:szCs w:val="28"/>
          <w:u w:val="single"/>
        </w:rPr>
        <w:t>San Diego Gas and Electric Co. v. Superior Court</w:t>
      </w:r>
      <w:r>
        <w:rPr>
          <w:sz w:val="28"/>
          <w:szCs w:val="28"/>
        </w:rPr>
        <w:t>, 13 Cal. 4</w:t>
      </w:r>
      <w:r>
        <w:rPr>
          <w:sz w:val="28"/>
          <w:szCs w:val="28"/>
          <w:vertAlign w:val="superscript"/>
        </w:rPr>
        <w:t>th</w:t>
      </w:r>
      <w:r>
        <w:rPr>
          <w:sz w:val="28"/>
          <w:szCs w:val="28"/>
        </w:rPr>
        <w:t xml:space="preserve"> 893, 55 Cal.Rptr. 2d 724, 759 (1996), the California Supreme Court held that homeowners could not bring a negligence cause of action against an electric utility, arising from electric and magnetic fields emitting from low voltage electric power lines, as an award of damages on that theory would undermine the CPUC’s policy on power-line electric and magnetic fields.</w:t>
      </w:r>
    </w:p>
    <w:p>
      <w:pPr>
        <w:pStyle w:val="Text"/>
        <w:spacing w:lineRule="auto" w:line="480" w:before="0" w:after="0"/>
        <w:ind w:firstLine="720" w:end="0"/>
        <w:rPr/>
      </w:pPr>
      <w:r>
        <w:rPr>
          <w:sz w:val="28"/>
          <w:szCs w:val="28"/>
        </w:rPr>
        <w:t xml:space="preserve">The court held that an award of damages would hold the utility liable for not doing what the CPUC had repeatedly determined that it and all similarly situated utilities were not required to do, i.e. take measures to mitigate effects of such fields from existing power lines.  </w:t>
      </w:r>
      <w:r>
        <w:rPr>
          <w:sz w:val="28"/>
          <w:szCs w:val="28"/>
          <w:u w:val="single"/>
        </w:rPr>
        <w:t>Id</w:t>
      </w:r>
      <w:r>
        <w:rPr>
          <w:i/>
          <w:iCs/>
          <w:sz w:val="28"/>
          <w:szCs w:val="28"/>
        </w:rPr>
        <w:t xml:space="preserve">. </w:t>
      </w:r>
    </w:p>
    <w:p>
      <w:pPr>
        <w:pStyle w:val="Text"/>
        <w:spacing w:lineRule="auto" w:line="480" w:before="0" w:after="0"/>
        <w:ind w:firstLine="720" w:end="0"/>
        <w:rPr/>
      </w:pPr>
      <w:r>
        <w:rPr>
          <w:sz w:val="28"/>
          <w:szCs w:val="28"/>
        </w:rPr>
        <w:t xml:space="preserve">The court also held that the homeowners could not bring a private nuisance action because an award of damages on that basis would impermissibly interfere with the CPUC’s policy on power lines and found that the homeowners failed to state a cause of action for trespass against the electric utility because any diminution in property value was only an element of damages which needed to be first proved otherwise.  </w:t>
      </w:r>
      <w:r>
        <w:rPr>
          <w:sz w:val="28"/>
          <w:szCs w:val="28"/>
          <w:u w:val="single"/>
        </w:rPr>
        <w:t>Id</w:t>
      </w:r>
      <w:r>
        <w:rPr>
          <w:sz w:val="28"/>
          <w:szCs w:val="28"/>
        </w:rPr>
        <w:t>.</w:t>
      </w:r>
    </w:p>
    <w:p>
      <w:pPr>
        <w:pStyle w:val="Text"/>
        <w:spacing w:lineRule="auto" w:line="480" w:before="0" w:after="0"/>
        <w:ind w:firstLine="720" w:end="0"/>
        <w:rPr/>
      </w:pPr>
      <w:r>
        <w:rPr>
          <w:sz w:val="28"/>
          <w:szCs w:val="28"/>
        </w:rPr>
        <w:t xml:space="preserve">The District Court properly dismissed TANC’s state law claims concerning interconnection and operation of appellees’ electric transmission facilities.  These state law causes of action are nothing but a wolf in sheep’s clothing -- an attempt by TANC to hide what is really a federal claim preempted by the Federal Power Act.  TANC’s real claim is that FERC’s approval of the Alturas Intertie reduced TANC’s </w:t>
      </w:r>
      <w:r>
        <w:rPr>
          <w:sz w:val="28"/>
          <w:szCs w:val="28"/>
          <w:u w:val="single"/>
        </w:rPr>
        <w:t>de facto</w:t>
      </w:r>
      <w:r>
        <w:rPr>
          <w:sz w:val="28"/>
          <w:szCs w:val="28"/>
        </w:rPr>
        <w:t xml:space="preserve"> transmission capacity from the Northwestern A C Intertie.  </w:t>
      </w:r>
      <w:r>
        <w:rPr>
          <w:rStyle w:val="FootnoteCharacters"/>
          <w:rStyle w:val="FootnoteReference"/>
          <w:sz w:val="28"/>
          <w:szCs w:val="28"/>
        </w:rPr>
        <w:footnoteReference w:id="6"/>
      </w:r>
      <w:r>
        <w:rPr>
          <w:sz w:val="28"/>
          <w:szCs w:val="28"/>
        </w:rPr>
        <w:t xml:space="preserve"> The District Court properly concluded that the Supremacy Clause bars TANC’s claims.</w:t>
      </w:r>
    </w:p>
    <w:p>
      <w:pPr>
        <w:pStyle w:val="Text"/>
        <w:spacing w:lineRule="auto" w:line="480" w:before="0" w:after="0"/>
        <w:ind w:firstLine="720" w:end="0"/>
        <w:rPr>
          <w:sz w:val="28"/>
          <w:szCs w:val="28"/>
        </w:rPr>
      </w:pPr>
      <w:r>
        <w:rPr>
          <w:sz w:val="28"/>
          <w:szCs w:val="28"/>
        </w:rPr>
        <w:t xml:space="preserve">Faced with the pervasive federal regulation of interstate transmission of energy, TANC looks towards the heavens for an answer to its dilemma and cites some aircraft cases, which have nothing to do with the Federal Power Act.  TANC erroneously relies on </w:t>
      </w:r>
      <w:r>
        <w:rPr>
          <w:sz w:val="28"/>
          <w:szCs w:val="28"/>
          <w:u w:val="single"/>
        </w:rPr>
        <w:t>Greater Westchester Homeowners Ass’n v. City of Los Angeles</w:t>
      </w:r>
      <w:r>
        <w:rPr>
          <w:sz w:val="28"/>
          <w:szCs w:val="28"/>
        </w:rPr>
        <w:t xml:space="preserve">, 26 Cal. 3d 86 (1979), </w:t>
      </w:r>
      <w:r>
        <w:rPr>
          <w:sz w:val="28"/>
          <w:szCs w:val="28"/>
          <w:u w:val="single"/>
        </w:rPr>
        <w:t>cert. Denied</w:t>
      </w:r>
      <w:r>
        <w:rPr>
          <w:sz w:val="28"/>
          <w:szCs w:val="28"/>
        </w:rPr>
        <w:t>, [CITE], in which a plaintiff initiated a state law cause of action against the City of Los Angeles for locating, expanding and operating an airport such that associated air traffic noise and emissions allegedly interfered with plaintiff’s quiet enjoyment of their nearby real property.  [CITE] For example, plaintiff complained that the city had not condemned aircraft noise easements or constructed ground barriers to diminish noise -- </w:t>
      </w:r>
      <w:r>
        <w:rPr>
          <w:i/>
          <w:iCs/>
          <w:sz w:val="28"/>
          <w:szCs w:val="28"/>
        </w:rPr>
        <w:t>actions that would be fully consistent with the scheme of federal regulation of aviation.</w:t>
      </w:r>
    </w:p>
    <w:p>
      <w:pPr>
        <w:pStyle w:val="Text"/>
        <w:spacing w:lineRule="auto" w:line="480" w:before="0" w:after="0"/>
        <w:ind w:firstLine="720" w:end="0"/>
        <w:rPr>
          <w:sz w:val="28"/>
          <w:szCs w:val="28"/>
        </w:rPr>
      </w:pPr>
      <w:r>
        <w:rPr>
          <w:sz w:val="28"/>
          <w:szCs w:val="28"/>
        </w:rPr>
        <w:t xml:space="preserve">The Supreme Court of California held that the state law cause of action against the city was not preempted because there would be no interference with the federal scheme -- not, as suggested by TANC, because state law can impose damages for compliance with the federal scheme.  In short, TANC’s reliance on </w:t>
      </w:r>
      <w:r>
        <w:rPr>
          <w:sz w:val="28"/>
          <w:szCs w:val="28"/>
          <w:u w:val="single"/>
        </w:rPr>
        <w:t>Greater Westchester</w:t>
      </w:r>
      <w:r>
        <w:rPr>
          <w:sz w:val="28"/>
          <w:szCs w:val="28"/>
        </w:rPr>
        <w:t xml:space="preserve"> is based on a fundamental misrepresentation of that case.</w:t>
      </w:r>
      <w:r>
        <w:rPr>
          <w:rStyle w:val="FootnoteCharacters"/>
          <w:rStyle w:val="FootnoteReference"/>
        </w:rPr>
        <w:footnoteReference w:id="7"/>
      </w:r>
    </w:p>
    <w:p>
      <w:pPr>
        <w:pStyle w:val="Text"/>
        <w:spacing w:lineRule="auto" w:line="480" w:before="0" w:after="0"/>
        <w:ind w:firstLine="720" w:end="0"/>
        <w:rPr/>
      </w:pPr>
      <w:r>
        <w:rPr>
          <w:sz w:val="28"/>
          <w:szCs w:val="28"/>
        </w:rPr>
        <w:t xml:space="preserve">Similarly, TANC misses the point in suggesting that the state law claim in </w:t>
      </w:r>
      <w:r>
        <w:rPr>
          <w:sz w:val="28"/>
          <w:szCs w:val="28"/>
          <w:u w:val="single"/>
        </w:rPr>
        <w:t>Greater Westchester</w:t>
      </w:r>
      <w:r>
        <w:rPr>
          <w:sz w:val="28"/>
          <w:szCs w:val="28"/>
        </w:rPr>
        <w:t xml:space="preserve"> survived preemption because the targeted action (again, the city’s siting of and control of numbers and timing of flights through an airport) was voluntarily undertaken by the city.  The court in </w:t>
      </w:r>
      <w:r>
        <w:rPr>
          <w:sz w:val="28"/>
          <w:szCs w:val="28"/>
          <w:u w:val="single"/>
        </w:rPr>
        <w:t>Great Westchester</w:t>
      </w:r>
      <w:r>
        <w:rPr>
          <w:sz w:val="28"/>
          <w:szCs w:val="28"/>
        </w:rPr>
        <w:t xml:space="preserve"> referred to the voluntary nature of the action in discussing liability, not preemption.  </w:t>
      </w:r>
      <w:r>
        <w:rPr>
          <w:sz w:val="28"/>
          <w:szCs w:val="28"/>
          <w:u w:val="single"/>
        </w:rPr>
        <w:t>Id</w:t>
      </w:r>
      <w:r>
        <w:rPr>
          <w:sz w:val="28"/>
          <w:szCs w:val="28"/>
        </w:rPr>
        <w:t>. at 98-99.</w:t>
      </w:r>
    </w:p>
    <w:p>
      <w:pPr>
        <w:pStyle w:val="Text"/>
        <w:spacing w:lineRule="auto" w:line="480" w:before="0" w:after="0"/>
        <w:ind w:firstLine="720" w:end="0"/>
        <w:rPr/>
      </w:pPr>
      <w:r>
        <w:rPr>
          <w:sz w:val="28"/>
          <w:szCs w:val="28"/>
        </w:rPr>
        <w:t xml:space="preserve">Again, for preemption purposes, the critical factor was that the federal scheme does not extend to proprietary control of airports, </w:t>
      </w:r>
      <w:r>
        <w:rPr>
          <w:i/>
          <w:iCs/>
          <w:sz w:val="28"/>
          <w:szCs w:val="28"/>
        </w:rPr>
        <w:t>i.e.</w:t>
      </w:r>
      <w:r>
        <w:rPr>
          <w:sz w:val="28"/>
          <w:szCs w:val="28"/>
        </w:rPr>
        <w:t xml:space="preserve">, there was no conflict between the state action and the federal scheme.  </w:t>
      </w:r>
      <w:r>
        <w:rPr>
          <w:sz w:val="28"/>
          <w:szCs w:val="28"/>
          <w:u w:val="single"/>
        </w:rPr>
        <w:t>Id</w:t>
      </w:r>
      <w:r>
        <w:rPr>
          <w:sz w:val="28"/>
          <w:szCs w:val="28"/>
        </w:rPr>
        <w:t>. at 95-96.  Here, the voluntary nature of Sierra Pacific’s activities does not change the fact that those activities are fully lawful under the federal scheme governing electric transmission services.  TANC’s proposed state law action would interfere with that scheme.</w:t>
      </w:r>
    </w:p>
    <w:p>
      <w:pPr>
        <w:pStyle w:val="Text"/>
        <w:spacing w:lineRule="auto" w:line="480" w:before="0" w:after="0"/>
        <w:ind w:firstLine="720" w:end="0"/>
        <w:rPr>
          <w:sz w:val="28"/>
          <w:szCs w:val="28"/>
        </w:rPr>
      </w:pPr>
      <w:r>
        <w:rPr>
          <w:sz w:val="28"/>
          <w:szCs w:val="28"/>
        </w:rPr>
        <w:t>Finally, TANC’s vague reference to the fact that the Federal Aviation Administration does not have adjudicatory powers over noise disputes [AOB 34], says nothing about whether FERC has exclusive jurisdiction to determine transmission access rights, which it does.  Order 888, ¶________.</w:t>
      </w:r>
    </w:p>
    <w:p>
      <w:pPr>
        <w:pStyle w:val="Text"/>
        <w:spacing w:lineRule="auto" w:line="480" w:before="0" w:after="0"/>
        <w:ind w:firstLine="720" w:end="0"/>
        <w:rPr/>
      </w:pPr>
      <w:r>
        <w:rPr>
          <w:sz w:val="28"/>
          <w:szCs w:val="28"/>
        </w:rPr>
        <w:t xml:space="preserve">The aircraft cases cited by TANC all were decided before the Airline Deregulatory Act. (“ADA”) 49 U.S.C. App. § 1301.  The ADA clearly preempts state law.  </w:t>
      </w:r>
      <w:r>
        <w:rPr>
          <w:sz w:val="28"/>
          <w:szCs w:val="28"/>
          <w:u w:val="single"/>
        </w:rPr>
        <w:t>Id</w:t>
      </w:r>
      <w:r>
        <w:rPr>
          <w:sz w:val="28"/>
          <w:szCs w:val="28"/>
        </w:rPr>
        <w:t xml:space="preserve">. at 1305(a)(1); </w:t>
      </w:r>
      <w:r>
        <w:rPr>
          <w:sz w:val="28"/>
          <w:szCs w:val="28"/>
          <w:u w:val="single"/>
        </w:rPr>
        <w:t>Morales v. Trans World Airlines</w:t>
      </w:r>
      <w:r>
        <w:rPr>
          <w:sz w:val="28"/>
          <w:szCs w:val="28"/>
        </w:rPr>
        <w:t xml:space="preserve"> 504 U.S. 385, 383-86, 112 S.Ct. 2031 (1992).</w:t>
      </w:r>
    </w:p>
    <w:p>
      <w:pPr>
        <w:pStyle w:val="Text"/>
        <w:spacing w:lineRule="auto" w:line="480" w:before="0" w:after="0"/>
        <w:ind w:firstLine="720" w:end="0"/>
        <w:rPr/>
      </w:pPr>
      <w:r>
        <w:rPr>
          <w:sz w:val="28"/>
          <w:szCs w:val="28"/>
        </w:rPr>
        <w:t xml:space="preserve">It is not surprising that TANC did not cite </w:t>
      </w:r>
      <w:r>
        <w:rPr>
          <w:sz w:val="28"/>
          <w:szCs w:val="28"/>
          <w:u w:val="single"/>
        </w:rPr>
        <w:t>Morales</w:t>
      </w:r>
      <w:r>
        <w:rPr>
          <w:sz w:val="28"/>
          <w:szCs w:val="28"/>
        </w:rPr>
        <w:t xml:space="preserve">.  That case destroys TANC’s argument.  In </w:t>
      </w:r>
      <w:r>
        <w:rPr>
          <w:sz w:val="28"/>
          <w:szCs w:val="28"/>
          <w:u w:val="single"/>
        </w:rPr>
        <w:t>Morales</w:t>
      </w:r>
      <w:r>
        <w:rPr>
          <w:sz w:val="28"/>
          <w:szCs w:val="28"/>
        </w:rPr>
        <w:t xml:space="preserve"> the Court held that all state laws relating to rates, routes, or services of any carrier were to be broadly interpreted to preempt all state laws having a connection with or reference to airline rates, routes or services.  The Court held that guidelines regarding airline fare advertising fell within the meaning of the term “relating to” as used in connection with “rates, routes or services.”  </w:t>
      </w:r>
      <w:r>
        <w:rPr>
          <w:sz w:val="28"/>
          <w:szCs w:val="28"/>
          <w:u w:val="single"/>
        </w:rPr>
        <w:t>Id</w:t>
      </w:r>
      <w:r>
        <w:rPr>
          <w:sz w:val="28"/>
          <w:szCs w:val="28"/>
        </w:rPr>
        <w:t>. at 386 (noting “there is little reason why state impairment of the federal scheme should be deemed acceptable.”).</w:t>
      </w:r>
    </w:p>
    <w:p>
      <w:pPr>
        <w:pStyle w:val="Text"/>
        <w:spacing w:lineRule="auto" w:line="480" w:before="0" w:after="0"/>
        <w:ind w:firstLine="720" w:end="0"/>
        <w:rPr/>
      </w:pPr>
      <w:r>
        <w:rPr>
          <w:sz w:val="28"/>
          <w:szCs w:val="28"/>
        </w:rPr>
        <w:t xml:space="preserve">Similarly, because TANC’s claims related to the “rates, terms, and conditions” of service to it over the Northwest Intertie with which it is interconnected under federal law, its claims are preempted under the FPA and Order 888.  </w:t>
      </w:r>
      <w:r>
        <w:rPr>
          <w:sz w:val="28"/>
          <w:szCs w:val="28"/>
          <w:u w:val="single"/>
        </w:rPr>
        <w:t>See also</w:t>
      </w:r>
      <w:r>
        <w:rPr>
          <w:sz w:val="28"/>
          <w:szCs w:val="28"/>
        </w:rPr>
        <w:t xml:space="preserve"> </w:t>
      </w:r>
      <w:r>
        <w:rPr>
          <w:sz w:val="28"/>
          <w:szCs w:val="28"/>
          <w:u w:val="single"/>
        </w:rPr>
        <w:t>Read-Rite Corp. v. Burlington Air Express, Ltd.</w:t>
      </w:r>
      <w:r>
        <w:rPr>
          <w:sz w:val="28"/>
          <w:szCs w:val="28"/>
        </w:rPr>
        <w:t>, 186 F.3d 1190 (9</w:t>
      </w:r>
      <w:r>
        <w:rPr>
          <w:sz w:val="28"/>
          <w:szCs w:val="28"/>
          <w:vertAlign w:val="superscript"/>
        </w:rPr>
        <w:t>th</w:t>
      </w:r>
      <w:r>
        <w:rPr>
          <w:sz w:val="28"/>
          <w:szCs w:val="28"/>
        </w:rPr>
        <w:t xml:space="preserve"> Cir. 1999) (preempting state law regarding damages and limited liability of air carrier for loss or damage to cargo because directly related to carrier’s rates and services under ADA); </w:t>
      </w:r>
      <w:r>
        <w:rPr>
          <w:sz w:val="28"/>
          <w:szCs w:val="28"/>
          <w:u w:val="single"/>
        </w:rPr>
        <w:t>Fed Express Corp. v. U.S. Postal Service</w:t>
      </w:r>
      <w:r>
        <w:rPr>
          <w:sz w:val="28"/>
          <w:szCs w:val="28"/>
        </w:rPr>
        <w:t xml:space="preserve">, 55 F. Supp.2d 813 (W.D. Tenn. 1999) (claims that airline knowingly made false representations under state law considered to have connection with or referred to airline “rates, routes or services” and thus were preempted by the ADA); </w:t>
      </w:r>
      <w:r>
        <w:rPr>
          <w:sz w:val="28"/>
          <w:szCs w:val="28"/>
          <w:u w:val="single"/>
        </w:rPr>
        <w:t>Nazarian v. Compagnie Nationale Air France</w:t>
      </w:r>
      <w:r>
        <w:rPr>
          <w:sz w:val="28"/>
          <w:szCs w:val="28"/>
        </w:rPr>
        <w:t xml:space="preserve">, 989 F. Supp. 504 (S.D.N.Y. 1998) (state law negligence claim against airline’s operation of its flight schedule preempted by the ADA because it related to “service.”); </w:t>
      </w:r>
      <w:r>
        <w:rPr>
          <w:sz w:val="28"/>
          <w:szCs w:val="28"/>
          <w:u w:val="single"/>
        </w:rPr>
        <w:t>SVT v. Federal Express Corp.</w:t>
      </w:r>
      <w:r>
        <w:rPr>
          <w:sz w:val="28"/>
          <w:szCs w:val="28"/>
        </w:rPr>
        <w:t>, 1997 WL 285051 at *3 (N.D. Cal. May 19, 1997) (remedies sought in breach of contract claim preempted by ADA where state-imposed regulations “concerned” airline rates, routes, and services and to apply state law would undermine the very purpose of federal preemption which is to maintain a uniform regulatory system).</w:t>
      </w:r>
    </w:p>
    <w:p>
      <w:pPr>
        <w:pStyle w:val="Text"/>
        <w:spacing w:lineRule="auto" w:line="480" w:before="0" w:after="0"/>
        <w:ind w:firstLine="720" w:end="0"/>
        <w:rPr>
          <w:sz w:val="28"/>
          <w:szCs w:val="28"/>
        </w:rPr>
      </w:pPr>
      <w:r>
        <w:rPr>
          <w:sz w:val="28"/>
          <w:szCs w:val="28"/>
        </w:rPr>
        <w:t>TANC’s aircraft cases do not help it.  They are no more than a wing and a prayer.  The District Court was right.  The preemptive force of the Federal Power Act requires dismissal of TANC’s state court action.</w:t>
      </w:r>
    </w:p>
    <w:p>
      <w:pPr>
        <w:pStyle w:val="Text"/>
        <w:spacing w:before="0" w:after="240"/>
        <w:ind w:hanging="720" w:start="1440" w:end="810"/>
        <w:rPr/>
      </w:pPr>
      <w:r>
        <w:fldChar w:fldCharType="begin"/>
      </w:r>
      <w:r>
        <w:rPr>
          <w:sz w:val="28"/>
          <w:b/>
          <w:szCs w:val="28"/>
          <w:bCs/>
          <w:lang w:val="en-CA"/>
        </w:rPr>
        <w:instrText xml:space="preserve"> QUOTE "</w:instrText>
      </w:r>
      <w:bookmarkStart w:id="11" w:name="WCTOCLevel2Mark15in1BGZ04"/>
      <w:r>
        <w:rPr>
          <w:b/>
          <w:bCs/>
          <w:sz w:val="28"/>
          <w:szCs w:val="28"/>
          <w:lang w:val="en-CA"/>
        </w:rPr>
      </w:r>
      <w:r>
        <w:rPr>
          <w:sz w:val="28"/>
          <w:b/>
          <w:szCs w:val="28"/>
          <w:bCs/>
          <w:lang w:val="en-CA"/>
        </w:rPr>
        <w:fldChar w:fldCharType="separate"/>
      </w:r>
      <w:r>
        <w:rPr>
          <w:b/>
          <w:bCs/>
          <w:sz w:val="28"/>
          <w:szCs w:val="28"/>
          <w:lang w:val="en-CA"/>
        </w:rPr>
        <w:t>B.</w:t>
      </w:r>
      <w:r>
        <w:rPr>
          <w:b/>
          <w:bCs/>
          <w:sz w:val="28"/>
          <w:szCs w:val="28"/>
          <w:lang w:val="en-CA"/>
        </w:rPr>
      </w:r>
      <w:r>
        <w:rPr>
          <w:sz w:val="28"/>
          <w:b/>
          <w:szCs w:val="28"/>
          <w:bCs/>
          <w:lang w:val="en-CA"/>
        </w:rPr>
        <w:fldChar w:fldCharType="end"/>
      </w:r>
      <w:r>
        <w:rPr>
          <w:sz w:val="28"/>
          <w:szCs w:val="28"/>
        </w:rPr>
        <w:tab/>
      </w:r>
      <w:r>
        <w:rPr>
          <w:b/>
          <w:bCs/>
          <w:sz w:val="28"/>
          <w:szCs w:val="28"/>
        </w:rPr>
        <w:t>TANC’S STATE COURT CLAIMS ARE PREEMPTED BY THE FILED RATE DOCTRINE</w:t>
      </w:r>
      <w:bookmarkEnd w:id="11"/>
    </w:p>
    <w:p>
      <w:pPr>
        <w:pStyle w:val="Text"/>
        <w:spacing w:lineRule="auto" w:line="480" w:before="0" w:after="0"/>
        <w:ind w:firstLine="720" w:end="0"/>
        <w:rPr>
          <w:sz w:val="28"/>
          <w:szCs w:val="28"/>
        </w:rPr>
      </w:pPr>
      <w:r>
        <w:rPr>
          <w:sz w:val="28"/>
          <w:szCs w:val="28"/>
        </w:rPr>
        <w:t>TANC states that the District Court erred in relying on the “filed rate” doctrine.  [AOB 38-42].  TANC is wrong.  A shown by the cases discussed below, the United States Congress has enacted the filed rate system of regulation to protect the primary jurisdiction of FERC over rates and practices against incursions by courts and state legislatures.  It is properly a specialized part of the preemption doctrine.</w:t>
      </w:r>
    </w:p>
    <w:p>
      <w:pPr>
        <w:pStyle w:val="Text"/>
        <w:spacing w:lineRule="auto" w:line="480" w:before="0" w:after="0"/>
        <w:ind w:firstLine="720" w:end="0"/>
        <w:rPr/>
      </w:pPr>
      <w:r>
        <w:rPr>
          <w:sz w:val="28"/>
          <w:szCs w:val="28"/>
        </w:rPr>
        <w:t xml:space="preserve">Since 1922, federal courts have held that enactment by Congress of a comprehensive scheme of “filed rate” regulation of rates and associated practices ousts the authority of state or federal courts over such rates and practices.  </w:t>
      </w:r>
      <w:r>
        <w:rPr>
          <w:sz w:val="28"/>
          <w:szCs w:val="28"/>
          <w:u w:val="single"/>
        </w:rPr>
        <w:t>American Telephone &amp; Telegraph Co. v. Central Telephone Office</w:t>
      </w:r>
      <w:r>
        <w:rPr>
          <w:sz w:val="28"/>
          <w:szCs w:val="28"/>
        </w:rPr>
        <w:t xml:space="preserve">, 524 U.S. 214 (1998); </w:t>
      </w:r>
      <w:r>
        <w:rPr>
          <w:sz w:val="28"/>
          <w:szCs w:val="28"/>
          <w:u w:val="single"/>
        </w:rPr>
        <w:t>Montana-Dakota Utilities Co. v. Northwestern Public Service Co.</w:t>
      </w:r>
      <w:r>
        <w:rPr>
          <w:sz w:val="28"/>
          <w:szCs w:val="28"/>
        </w:rPr>
        <w:t xml:space="preserve">, 341 U.S. 246 (1951); </w:t>
      </w:r>
      <w:r>
        <w:rPr>
          <w:sz w:val="28"/>
          <w:szCs w:val="28"/>
          <w:u w:val="single"/>
        </w:rPr>
        <w:t>Keogh v. Chicago &amp; Northwestern Ry Co.</w:t>
      </w:r>
      <w:r>
        <w:rPr>
          <w:sz w:val="28"/>
          <w:szCs w:val="28"/>
        </w:rPr>
        <w:t>, 260 U.S. 156, 160 (1922).</w:t>
      </w:r>
    </w:p>
    <w:p>
      <w:pPr>
        <w:pStyle w:val="Text"/>
        <w:spacing w:lineRule="auto" w:line="480" w:before="0" w:after="0"/>
        <w:ind w:firstLine="720" w:end="0"/>
        <w:rPr/>
      </w:pPr>
      <w:r>
        <w:rPr>
          <w:sz w:val="28"/>
          <w:szCs w:val="28"/>
        </w:rPr>
        <w:t xml:space="preserve">The District Court correctly relied upon </w:t>
      </w:r>
      <w:r>
        <w:rPr>
          <w:sz w:val="28"/>
          <w:szCs w:val="28"/>
          <w:u w:val="single"/>
        </w:rPr>
        <w:t>County of Stanislaus v. Pac. Gas &amp; Elec.</w:t>
      </w:r>
      <w:r>
        <w:rPr>
          <w:sz w:val="28"/>
          <w:szCs w:val="28"/>
        </w:rPr>
        <w:t>, 114 F.3d 858 (9</w:t>
      </w:r>
      <w:r>
        <w:rPr>
          <w:sz w:val="28"/>
          <w:szCs w:val="28"/>
          <w:vertAlign w:val="superscript"/>
        </w:rPr>
        <w:t>th</w:t>
      </w:r>
      <w:r>
        <w:rPr>
          <w:sz w:val="28"/>
          <w:szCs w:val="28"/>
        </w:rPr>
        <w:t xml:space="preserve"> Cir. 1997), which illustrates the application of the filed rate doctrine.  There, plaintiff’s filed Cartwright Act and Sherman Act counts against PG&amp;E, claiming that PG&amp;E and its subsidiaries conspired to raise the price of natural gas and also denied other gas suppliers access to its pipeline.  FERC approved PG&amp;E’s filed rates under its “just and reasonable” standard and also administered several programs relating to pipeline access.  The Court stated:</w:t>
      </w:r>
    </w:p>
    <w:p>
      <w:pPr>
        <w:pStyle w:val="Text"/>
        <w:spacing w:before="0" w:after="240"/>
        <w:ind w:hanging="0" w:start="720" w:end="720"/>
        <w:rPr>
          <w:sz w:val="28"/>
          <w:szCs w:val="28"/>
        </w:rPr>
      </w:pPr>
      <w:r>
        <w:rPr>
          <w:sz w:val="28"/>
          <w:szCs w:val="28"/>
        </w:rPr>
        <w:t>“</w:t>
      </w:r>
      <w:r>
        <w:rPr>
          <w:sz w:val="28"/>
          <w:szCs w:val="28"/>
        </w:rPr>
        <w:t>Since the 1920s, the ‘filed rate’ or the ‘filed tariff’ doctrine has barred antitrust recovery by parties claiming injury from payment of a filed rate for goods or services.”</w:t>
      </w:r>
    </w:p>
    <w:p>
      <w:pPr>
        <w:pStyle w:val="Text"/>
        <w:spacing w:lineRule="auto" w:line="360" w:before="0" w:after="0"/>
        <w:ind w:hanging="0" w:end="0"/>
        <w:rPr>
          <w:sz w:val="28"/>
          <w:szCs w:val="28"/>
        </w:rPr>
      </w:pPr>
      <w:r>
        <w:rPr>
          <w:sz w:val="28"/>
          <w:szCs w:val="28"/>
        </w:rPr>
        <w:t>114 F.3d at 862.  The rationale was clear:</w:t>
      </w:r>
    </w:p>
    <w:p>
      <w:pPr>
        <w:pStyle w:val="Text"/>
        <w:spacing w:lineRule="auto" w:line="360" w:before="0" w:after="0"/>
        <w:ind w:hanging="0" w:start="720" w:end="720"/>
        <w:rPr/>
      </w:pPr>
      <w:r>
        <w:rPr>
          <w:sz w:val="28"/>
          <w:szCs w:val="28"/>
        </w:rPr>
        <w:t>“</w:t>
      </w:r>
      <w:r>
        <w:rPr>
          <w:sz w:val="28"/>
          <w:szCs w:val="28"/>
        </w:rPr>
        <w:t xml:space="preserve">The filed rate doctrine applies both to federal antitrust actions and to state law causes of action relating to rates established by federal agencies.  </w:t>
      </w:r>
      <w:r>
        <w:rPr>
          <w:sz w:val="28"/>
          <w:szCs w:val="28"/>
          <w:u w:val="single"/>
        </w:rPr>
        <w:t>See</w:t>
      </w:r>
      <w:r>
        <w:rPr>
          <w:sz w:val="28"/>
          <w:szCs w:val="28"/>
        </w:rPr>
        <w:t xml:space="preserve"> </w:t>
      </w:r>
      <w:r>
        <w:rPr>
          <w:sz w:val="28"/>
          <w:szCs w:val="28"/>
          <w:u w:val="single"/>
        </w:rPr>
        <w:t>Arkansas Louisiana Gas</w:t>
      </w:r>
      <w:r>
        <w:rPr>
          <w:sz w:val="28"/>
          <w:szCs w:val="28"/>
        </w:rPr>
        <w:t xml:space="preserve">, 453 U.S. at 580.  To permit recovery under state law would allow a state court (or a federal court applying state law) to undermine the authority of a federal agency, id at 582, and would impermissibly contravene the Supremacy Clause.  </w:t>
      </w:r>
      <w:r>
        <w:rPr>
          <w:sz w:val="28"/>
          <w:szCs w:val="28"/>
          <w:u w:val="single"/>
        </w:rPr>
        <w:t>See</w:t>
      </w:r>
      <w:r>
        <w:rPr>
          <w:sz w:val="28"/>
          <w:szCs w:val="28"/>
        </w:rPr>
        <w:t xml:space="preserve"> </w:t>
      </w:r>
      <w:r>
        <w:rPr>
          <w:sz w:val="28"/>
          <w:szCs w:val="28"/>
          <w:u w:val="single"/>
        </w:rPr>
        <w:t>id</w:t>
      </w:r>
      <w:r>
        <w:rPr>
          <w:sz w:val="28"/>
          <w:szCs w:val="28"/>
        </w:rPr>
        <w:t>.”</w:t>
      </w:r>
    </w:p>
    <w:p>
      <w:pPr>
        <w:pStyle w:val="Text"/>
        <w:spacing w:lineRule="auto" w:line="360" w:before="0" w:after="0"/>
        <w:ind w:hanging="1440" w:start="1440" w:end="0"/>
        <w:rPr/>
      </w:pPr>
      <w:r>
        <w:rPr>
          <w:sz w:val="28"/>
          <w:szCs w:val="28"/>
          <w:u w:val="single"/>
        </w:rPr>
        <w:t>Id</w:t>
      </w:r>
      <w:r>
        <w:rPr>
          <w:sz w:val="28"/>
          <w:szCs w:val="28"/>
        </w:rPr>
        <w:t>. at 863</w:t>
      </w:r>
    </w:p>
    <w:p>
      <w:pPr>
        <w:pStyle w:val="Text"/>
        <w:spacing w:lineRule="auto" w:line="480" w:before="0" w:after="0"/>
        <w:ind w:firstLine="720" w:end="0"/>
        <w:rPr>
          <w:sz w:val="28"/>
          <w:szCs w:val="28"/>
        </w:rPr>
      </w:pPr>
      <w:r>
        <w:rPr>
          <w:sz w:val="28"/>
          <w:szCs w:val="28"/>
        </w:rPr>
        <w:t>Finally, the Court reiterated that both state law and federal claims are barred, because plaintiffs’ damage calculations would challenge the just and reasonable prices approved by FERC:</w:t>
      </w:r>
    </w:p>
    <w:p>
      <w:pPr>
        <w:pStyle w:val="PleadingText"/>
        <w:spacing w:before="0" w:after="0"/>
        <w:ind w:hanging="0" w:start="720" w:end="720"/>
        <w:rPr/>
      </w:pPr>
      <w:r>
        <w:rPr/>
        <w:t>“</w:t>
      </w:r>
      <w:r>
        <w:rPr/>
        <w:t>Our conclusion that the filed rate doctrine bars plaintiffs’ denial of access claim receives additional support from plaintiffs’ complaint, which seeks as relief damages based on the difference between the rate paid for gas - a filed rate - and the rate potentially available from other Canadian producers.  In reality, though framed as a challenge to access, this claim, too, is a little more than a challenge to rates that FERC approved and filed for gas that PG&amp;E imported, especially in light of plaintiffs’ failure to seek access to alternative suppliers of gas.  The filed rate doctrine bars the denial of access claims.</w:t>
      </w:r>
    </w:p>
    <w:p>
      <w:pPr>
        <w:pStyle w:val="PleadingText"/>
        <w:ind w:hanging="0" w:end="0"/>
        <w:jc w:val="center"/>
        <w:rPr/>
      </w:pPr>
      <w:r>
        <w:rPr/>
        <w:t>*  *  *</w:t>
      </w:r>
    </w:p>
    <w:p>
      <w:pPr>
        <w:pStyle w:val="PleadingText"/>
        <w:spacing w:before="0" w:after="0"/>
        <w:ind w:hanging="0" w:start="720" w:end="720"/>
        <w:rPr/>
      </w:pPr>
      <w:r>
        <w:rPr/>
        <w:t>In the instant case, FERC determined that PG&amp;E’s wholesale prices were "just and reasonable," and ERA established that PGT’s proposed import volumes were "in the public interest."  Accordingly, plaintiffs can challenge neither the price of the gas nor the volume of gas procured.  It makes no difference that plaintiffs choose to bring some of their claims under state law; on the facts of this case, the filed rate doctrine acts to bar all challenges that plaintiffs assert.  [citations omitted]  The district court properly dismissed the state law claims as barred by the filed rate doctrine."</w:t>
      </w:r>
    </w:p>
    <w:p>
      <w:pPr>
        <w:pStyle w:val="PleadingText"/>
        <w:spacing w:before="0" w:after="240"/>
        <w:ind w:hanging="0" w:end="0"/>
        <w:rPr/>
      </w:pPr>
      <w:r>
        <w:rPr/>
        <w:t>Id. at 866 (emphasis added).</w:t>
      </w:r>
    </w:p>
    <w:p>
      <w:pPr>
        <w:pStyle w:val="Text"/>
        <w:spacing w:lineRule="auto" w:line="480" w:before="0" w:after="0"/>
        <w:ind w:firstLine="720" w:end="0"/>
        <w:rPr/>
      </w:pPr>
      <w:r>
        <w:rPr>
          <w:sz w:val="28"/>
          <w:szCs w:val="28"/>
        </w:rPr>
        <w:t xml:space="preserve">The result in </w:t>
      </w:r>
      <w:r>
        <w:rPr>
          <w:sz w:val="28"/>
          <w:szCs w:val="28"/>
          <w:u w:val="single"/>
        </w:rPr>
        <w:t>County of Stanislaus</w:t>
      </w:r>
      <w:r>
        <w:rPr>
          <w:sz w:val="28"/>
          <w:szCs w:val="28"/>
        </w:rPr>
        <w:t xml:space="preserve"> is required by several United States Supreme Court decisions cited in that case.  In </w:t>
      </w:r>
      <w:r>
        <w:rPr>
          <w:sz w:val="28"/>
          <w:szCs w:val="28"/>
          <w:u w:val="single"/>
        </w:rPr>
        <w:t>Montana-Dakota Utilities Co. v. Northwestern Public Service Co.</w:t>
      </w:r>
      <w:r>
        <w:rPr>
          <w:sz w:val="28"/>
          <w:szCs w:val="28"/>
        </w:rPr>
        <w:t>, 341 U.S. 246 (1951), the plaintiff sought recovery of unreasonably high power rates based, in part, upon a state law fraud claim.  The contract imposing the rates was approved by the Federal Power Commission.  The Court stated that plaintiff’s suit would require it to determine what the reasonable rate should have been in order to establish plaintiff’s fraud damages.  To do so would usurp the authority of the Commission:</w:t>
      </w:r>
    </w:p>
    <w:p>
      <w:pPr>
        <w:pStyle w:val="PleadingText"/>
        <w:ind w:hanging="0" w:start="720" w:end="720"/>
        <w:rPr/>
      </w:pPr>
      <w:r>
        <w:rPr/>
        <w:t>"We hold the right to a reasonable rate is the right to the rate which the Commission files or fixes, and that, except for review of the Commission’s orders, the courts can assume no right to a different one on the ground that, in its opinion, it is the only or the more reasonable one.”</w:t>
      </w:r>
    </w:p>
    <w:p>
      <w:pPr>
        <w:pStyle w:val="Text"/>
        <w:spacing w:lineRule="auto" w:line="480" w:before="0" w:after="0"/>
        <w:ind w:firstLine="720" w:end="0"/>
        <w:rPr>
          <w:sz w:val="28"/>
          <w:szCs w:val="28"/>
        </w:rPr>
      </w:pPr>
      <w:r>
        <w:rPr>
          <w:sz w:val="28"/>
          <w:szCs w:val="28"/>
        </w:rPr>
        <w:t>The Supreme Court, holding that the Federal Power Act mandates dismissing claims that would require a court to establish a just and reasonable wholesale power rate as failing to state a claim for which relief may be granted, found that the determination of “just and reasonable rates” was inherent in the plaintiff’s state law fraud claim and served to bar its complaint:</w:t>
      </w:r>
    </w:p>
    <w:p>
      <w:pPr>
        <w:pStyle w:val="Text"/>
        <w:spacing w:lineRule="auto" w:line="480" w:before="0" w:after="0"/>
        <w:ind w:firstLine="720" w:end="0"/>
        <w:rPr>
          <w:sz w:val="28"/>
          <w:szCs w:val="28"/>
        </w:rPr>
      </w:pPr>
      <w:r>
        <w:rPr>
          <w:sz w:val="28"/>
          <w:szCs w:val="28"/>
        </w:rPr>
        <w:t>“</w:t>
      </w:r>
      <w:r>
        <w:rPr>
          <w:sz w:val="28"/>
          <w:szCs w:val="28"/>
        </w:rPr>
        <w:t>Here the issue of reasonableness of the charges is not one clearly severable from the issues of liability, for the acts charged do not amount to fraud unless there has been an unreasonable charge.  Injury is an essential element of remediable fraud.”</w:t>
      </w:r>
    </w:p>
    <w:p>
      <w:pPr>
        <w:pStyle w:val="PleadingText"/>
        <w:spacing w:lineRule="auto" w:line="480" w:before="0" w:after="0"/>
        <w:ind w:hanging="0" w:end="0"/>
        <w:rPr/>
      </w:pPr>
      <w:r>
        <w:rPr/>
        <w:t>341 U.S. 246, 253-54.</w:t>
      </w:r>
    </w:p>
    <w:p>
      <w:pPr>
        <w:pStyle w:val="Text"/>
        <w:spacing w:lineRule="auto" w:line="480" w:before="0" w:after="0"/>
        <w:ind w:firstLine="720" w:end="0"/>
        <w:rPr/>
      </w:pPr>
      <w:r>
        <w:rPr>
          <w:sz w:val="28"/>
          <w:szCs w:val="28"/>
        </w:rPr>
        <w:t xml:space="preserve">In 1986, the Supreme Court applied the filed rate doctrine in </w:t>
      </w:r>
      <w:r>
        <w:rPr>
          <w:sz w:val="28"/>
          <w:szCs w:val="28"/>
          <w:u w:val="single"/>
        </w:rPr>
        <w:t>Nantahala Power &amp; Light Co. v. Thornberg</w:t>
      </w:r>
      <w:r>
        <w:rPr>
          <w:sz w:val="28"/>
          <w:szCs w:val="28"/>
        </w:rPr>
        <w:t>, 476 U.S. 953 (1986).  Nantahala was a utility in North Carolina.  Tapoco and Nantahala jointly received low-cost wholesale power from TVA, and Nantahala also received some high-cost power from TVA.  The North Carolina Utilities commission (NCUC) allocated the low-price wholesale power between Tapoco and Nantahala differently than FERC’s allocation.  North Carolina’s Supreme Court affirmed the NCUC;s allocation.</w:t>
      </w:r>
    </w:p>
    <w:p>
      <w:pPr>
        <w:pStyle w:val="Text"/>
        <w:spacing w:lineRule="auto" w:line="480" w:before="0" w:after="0"/>
        <w:ind w:firstLine="720" w:end="0"/>
        <w:rPr>
          <w:sz w:val="28"/>
          <w:szCs w:val="28"/>
        </w:rPr>
      </w:pPr>
      <w:r>
        <w:rPr>
          <w:sz w:val="28"/>
          <w:szCs w:val="28"/>
        </w:rPr>
        <w:t xml:space="preserve">A unanimous U.S. Supreme Court reversed the North Carolina Court because NCUC’s allocation was pre-empted by federal law.  FERC had previously approved the contracts making the power allocation between Tapoco as part of its function of determining just and reasonable rates. </w:t>
      </w:r>
    </w:p>
    <w:p>
      <w:pPr>
        <w:pStyle w:val="Text"/>
        <w:spacing w:lineRule="auto" w:line="480" w:before="0" w:after="0"/>
        <w:ind w:firstLine="720" w:end="0"/>
        <w:rPr/>
      </w:pPr>
      <w:r>
        <w:rPr>
          <w:sz w:val="28"/>
          <w:szCs w:val="28"/>
        </w:rPr>
        <w:t xml:space="preserve">Finally, </w:t>
      </w:r>
      <w:r>
        <w:rPr>
          <w:sz w:val="28"/>
          <w:szCs w:val="28"/>
          <w:u w:val="single"/>
        </w:rPr>
        <w:t>Arkansas Louisiana Gas co. v. Hall</w:t>
      </w:r>
      <w:r>
        <w:rPr>
          <w:sz w:val="28"/>
          <w:szCs w:val="28"/>
        </w:rPr>
        <w:t>. 453 U.S. 571 (1981) reversed the Louisiana Supreme Court, which had ruled in favor of plaintiffs in a contract dispute.  The error was in the calculation of damages, which the court below had measured by using a rate higher than that in a filed rate approved by the Federal Power Commission.</w:t>
      </w:r>
    </w:p>
    <w:p>
      <w:pPr>
        <w:pStyle w:val="Text"/>
        <w:spacing w:before="0" w:after="240"/>
        <w:ind w:hanging="0" w:start="720" w:end="720"/>
        <w:rPr>
          <w:sz w:val="28"/>
          <w:szCs w:val="28"/>
        </w:rPr>
      </w:pPr>
      <w:r>
        <w:rPr>
          <w:sz w:val="28"/>
          <w:szCs w:val="28"/>
        </w:rPr>
        <w:t>“</w:t>
      </w:r>
      <w:r>
        <w:rPr>
          <w:sz w:val="28"/>
          <w:szCs w:val="28"/>
        </w:rPr>
        <w:t>In the case before us, the Louisiana Supreme Court’s award of damages to respondent was necessarily supported by an assumption that the higher rate respondents might have filed with the Commission was reasonable. . . .  but under the filed rate doctrine, the Commission alone is empowered to make that judgment, and until it has done so, no other rate than the one on file may be charged.”</w:t>
      </w:r>
    </w:p>
    <w:p>
      <w:pPr>
        <w:pStyle w:val="PleadingText"/>
        <w:spacing w:lineRule="auto" w:line="480" w:before="0" w:after="0"/>
        <w:ind w:hanging="0" w:end="0"/>
        <w:rPr/>
      </w:pPr>
      <w:r>
        <w:rPr/>
        <w:t>453 U.S. at 580-81.  [Emphasis Added]  The Louisiana Supreme Court had usurped a function that Congress had delegated to a federal agency.</w:t>
      </w:r>
    </w:p>
    <w:p>
      <w:pPr>
        <w:pStyle w:val="Text"/>
        <w:spacing w:lineRule="auto" w:line="480" w:before="0" w:after="0"/>
        <w:ind w:firstLine="720" w:end="0"/>
        <w:rPr/>
      </w:pPr>
      <w:r>
        <w:rPr>
          <w:sz w:val="28"/>
          <w:szCs w:val="28"/>
        </w:rPr>
        <w:t xml:space="preserve">TANC’s action in our case is barred by the filed rate doctrine just as were the state law actions and rulings described in the above cases.  Its reliance upon </w:t>
      </w:r>
      <w:r>
        <w:rPr>
          <w:sz w:val="28"/>
          <w:szCs w:val="28"/>
          <w:u w:val="single"/>
        </w:rPr>
        <w:t>Gulf States Utilities Co. v. Alabama Power Co.</w:t>
      </w:r>
      <w:r>
        <w:rPr>
          <w:sz w:val="28"/>
          <w:szCs w:val="28"/>
        </w:rPr>
        <w:t xml:space="preserve"> 824 F. 2d 1465 (5</w:t>
      </w:r>
      <w:r>
        <w:rPr>
          <w:sz w:val="28"/>
          <w:szCs w:val="28"/>
          <w:vertAlign w:val="superscript"/>
        </w:rPr>
        <w:t>th</w:t>
      </w:r>
      <w:r>
        <w:rPr>
          <w:sz w:val="28"/>
          <w:szCs w:val="28"/>
        </w:rPr>
        <w:t xml:space="preserve"> Cir. 1987) is misplaced as determined by the District Court.  [ER 187-188]</w:t>
      </w:r>
    </w:p>
    <w:p>
      <w:pPr>
        <w:pStyle w:val="Text"/>
        <w:spacing w:lineRule="auto" w:line="480" w:before="0" w:after="0"/>
        <w:ind w:firstLine="720" w:end="0"/>
        <w:rPr/>
      </w:pPr>
      <w:r>
        <w:rPr>
          <w:sz w:val="28"/>
          <w:szCs w:val="28"/>
        </w:rPr>
        <w:t xml:space="preserve">In </w:t>
      </w:r>
      <w:r>
        <w:rPr>
          <w:sz w:val="28"/>
          <w:szCs w:val="28"/>
          <w:u w:val="single"/>
        </w:rPr>
        <w:t>Gulf States</w:t>
      </w:r>
      <w:r>
        <w:rPr>
          <w:sz w:val="28"/>
          <w:szCs w:val="28"/>
        </w:rPr>
        <w:t xml:space="preserve">, plaintiff claimed (among numerous other complaints) that defendant had violated a contractual obligation to negotiate in good faith under a power sales contract.  The Fifth Circuit held that a court could adjudicate that particular claim under state law to the extent of determining whether the defendant, if it had entered into good faith negotiations, might have agreed to sell a lower quantity of power to the plaintiff.  </w:t>
      </w:r>
      <w:r>
        <w:rPr>
          <w:sz w:val="28"/>
          <w:szCs w:val="28"/>
          <w:u w:val="single"/>
        </w:rPr>
        <w:t>Id</w:t>
      </w:r>
      <w:r>
        <w:rPr>
          <w:sz w:val="28"/>
          <w:szCs w:val="28"/>
        </w:rPr>
        <w:t>. at 1472.</w:t>
      </w:r>
    </w:p>
    <w:p>
      <w:pPr>
        <w:pStyle w:val="Text"/>
        <w:spacing w:lineRule="auto" w:line="480" w:before="0" w:after="0"/>
        <w:ind w:firstLine="720" w:end="0"/>
        <w:rPr/>
      </w:pPr>
      <w:r>
        <w:rPr>
          <w:sz w:val="28"/>
          <w:szCs w:val="28"/>
        </w:rPr>
        <w:t xml:space="preserve">The court noted that state law action on the obligation to negotiate in good faith would not interfere with FERC’s determination about the rates for the power sales.  </w:t>
      </w:r>
      <w:r>
        <w:rPr>
          <w:sz w:val="28"/>
          <w:szCs w:val="28"/>
          <w:u w:val="single"/>
        </w:rPr>
        <w:t>Id</w:t>
      </w:r>
      <w:r>
        <w:rPr>
          <w:sz w:val="28"/>
          <w:szCs w:val="28"/>
        </w:rPr>
        <w:t>.  TANC interprets the Fifth Circuit’s holding as indicating that exclusive federal jurisdiction extends only to rates rather than “capacity” issues; TANC characterizes its own claim as a capacity issue.  [CITE]</w:t>
      </w:r>
    </w:p>
    <w:p>
      <w:pPr>
        <w:pStyle w:val="Text"/>
        <w:spacing w:lineRule="auto" w:line="480" w:before="0" w:after="0"/>
        <w:ind w:firstLine="720" w:end="0"/>
        <w:rPr/>
      </w:pPr>
      <w:r>
        <w:rPr>
          <w:sz w:val="28"/>
          <w:szCs w:val="28"/>
        </w:rPr>
        <w:t xml:space="preserve">TANC’s analysis is wrong.  The Fifth Circuit in </w:t>
      </w:r>
      <w:r>
        <w:rPr>
          <w:sz w:val="28"/>
          <w:szCs w:val="28"/>
          <w:u w:val="single"/>
        </w:rPr>
        <w:t>Gulf States</w:t>
      </w:r>
      <w:r>
        <w:rPr>
          <w:sz w:val="28"/>
          <w:szCs w:val="28"/>
        </w:rPr>
        <w:t xml:space="preserve"> referred to FERC’s rate jurisdiction only because the contract under consideration provided for a FERC-jurisdictional power sale.  The opinion noted that enforcement of the obligation to negotiate in good faith did not interfere with the rates for those sales.  </w:t>
      </w:r>
      <w:r>
        <w:rPr>
          <w:sz w:val="28"/>
          <w:szCs w:val="28"/>
          <w:u w:val="single"/>
        </w:rPr>
        <w:t>Id.</w:t>
      </w:r>
      <w:r>
        <w:rPr>
          <w:sz w:val="28"/>
          <w:szCs w:val="28"/>
        </w:rPr>
        <w:t xml:space="preserve"> at 1471.   The court’s observation does not mean that federal preemption applies only to rates and related matters, or that transmission “capacity” is left to control by state law.</w:t>
      </w:r>
      <w:r>
        <w:rPr>
          <w:rStyle w:val="FootnoteCharacters"/>
          <w:rStyle w:val="FootnoteReference"/>
          <w:sz w:val="28"/>
          <w:szCs w:val="28"/>
        </w:rPr>
        <w:footnoteReference w:id="8"/>
      </w:r>
      <w:r>
        <w:rPr>
          <w:sz w:val="28"/>
          <w:szCs w:val="28"/>
        </w:rPr>
        <w:t xml:space="preserve"> </w:t>
      </w:r>
      <w:r>
        <w:rPr>
          <w:sz w:val="28"/>
          <w:szCs w:val="28"/>
          <w:u w:val="single"/>
        </w:rPr>
        <w:t>See</w:t>
      </w:r>
      <w:r>
        <w:rPr>
          <w:sz w:val="28"/>
          <w:szCs w:val="28"/>
        </w:rPr>
        <w:t> [CITE].  The contrary is true.</w:t>
      </w:r>
    </w:p>
    <w:p>
      <w:pPr>
        <w:pStyle w:val="Text"/>
        <w:spacing w:lineRule="auto" w:line="480" w:before="0" w:after="0"/>
        <w:ind w:firstLine="720" w:end="0"/>
        <w:rPr/>
      </w:pPr>
      <w:r>
        <w:rPr>
          <w:sz w:val="28"/>
          <w:szCs w:val="28"/>
        </w:rPr>
        <w:t xml:space="preserve">Despite TANC’s reliance on </w:t>
      </w:r>
      <w:r>
        <w:rPr>
          <w:sz w:val="28"/>
          <w:szCs w:val="28"/>
          <w:u w:val="single"/>
        </w:rPr>
        <w:t>Gulf States</w:t>
      </w:r>
      <w:r>
        <w:rPr>
          <w:sz w:val="28"/>
          <w:szCs w:val="28"/>
        </w:rPr>
        <w:t xml:space="preserve">, the “rates” on file with the FERC for transmission service are merely one term of an overall transmission tariff that is on file with the FERC.  </w:t>
      </w:r>
      <w:r>
        <w:rPr>
          <w:sz w:val="28"/>
          <w:szCs w:val="28"/>
          <w:u w:val="single"/>
        </w:rPr>
        <w:t>See</w:t>
      </w:r>
      <w:r>
        <w:rPr>
          <w:sz w:val="28"/>
          <w:szCs w:val="28"/>
        </w:rPr>
        <w:t xml:space="preserve"> </w:t>
      </w:r>
      <w:r>
        <w:rPr>
          <w:sz w:val="28"/>
          <w:szCs w:val="28"/>
          <w:u w:val="single"/>
        </w:rPr>
        <w:t>Nantahala Power &amp; Light v. Thornburg</w:t>
      </w:r>
      <w:r>
        <w:rPr>
          <w:sz w:val="28"/>
          <w:szCs w:val="28"/>
        </w:rPr>
        <w:t xml:space="preserve">, 476 U.S. 953 (1986) (noting that the FERC looks to the rates, terms and conditions of service ).  The entirety of the tariff, not just the rates, is reviewed by the FERC for its “justness and reasonableness” pursuant to Sections 205 and 206 of the Federal Power Act.  Those sections require </w:t>
      </w:r>
      <w:r>
        <w:rPr>
          <w:sz w:val="28"/>
          <w:szCs w:val="28"/>
          <w:u w:val="single"/>
        </w:rPr>
        <w:t>every</w:t>
      </w:r>
      <w:r>
        <w:rPr>
          <w:sz w:val="28"/>
          <w:szCs w:val="28"/>
        </w:rPr>
        <w:t xml:space="preserve"> “term and condition of service” to be specified in the tariff, including the rate, and that each term and condition must be just, reasonable and nondiscriminatory.  16 U.S.C. </w:t>
      </w:r>
      <w:r>
        <w:rPr>
          <w:rFonts w:eastAsia="Times New Roman" w:cs="Times New Roman"/>
          <w:sz w:val="28"/>
          <w:szCs w:val="28"/>
        </w:rPr>
        <w:t>§§</w:t>
      </w:r>
      <w:r>
        <w:rPr>
          <w:sz w:val="28"/>
          <w:szCs w:val="28"/>
        </w:rPr>
        <w:t xml:space="preserve"> 824d and 824e.</w:t>
      </w:r>
    </w:p>
    <w:p>
      <w:pPr>
        <w:pStyle w:val="Text"/>
        <w:spacing w:lineRule="auto" w:line="480" w:before="0" w:after="0"/>
        <w:ind w:firstLine="720" w:end="0"/>
        <w:rPr/>
      </w:pPr>
      <w:r>
        <w:rPr>
          <w:sz w:val="28"/>
          <w:szCs w:val="28"/>
        </w:rPr>
        <w:t xml:space="preserve">The statute specifically provides for the FERC to ensure that those filed tariffs including all terms and conditions of service, do not create any undue discrimination or any undue preference either among customers or localities.  </w:t>
      </w:r>
      <w:r>
        <w:rPr>
          <w:sz w:val="28"/>
          <w:szCs w:val="28"/>
          <w:u w:val="single"/>
        </w:rPr>
        <w:t>Id</w:t>
      </w:r>
      <w:r>
        <w:rPr>
          <w:i/>
          <w:iCs/>
          <w:sz w:val="28"/>
          <w:szCs w:val="28"/>
        </w:rPr>
        <w:t>.</w:t>
      </w:r>
      <w:r>
        <w:rPr>
          <w:sz w:val="28"/>
          <w:szCs w:val="28"/>
        </w:rPr>
        <w:t xml:space="preserve">  As noted in the Order of the District Court, “[t]he pertinent question is not whether this action implicates FERC’s rate-making powers, but rather, whether TANC’s claims implicate </w:t>
      </w:r>
      <w:r>
        <w:rPr>
          <w:sz w:val="28"/>
          <w:szCs w:val="28"/>
          <w:u w:val="single"/>
        </w:rPr>
        <w:t>any</w:t>
      </w:r>
      <w:r>
        <w:rPr>
          <w:sz w:val="28"/>
          <w:szCs w:val="28"/>
        </w:rPr>
        <w:t xml:space="preserve"> of FERC’s regulatory powers under the FPA.”  [ER 188] (emphasis added).  </w:t>
      </w:r>
    </w:p>
    <w:p>
      <w:pPr>
        <w:pStyle w:val="Text"/>
        <w:spacing w:lineRule="auto" w:line="480" w:before="0" w:after="0"/>
        <w:ind w:firstLine="720" w:end="0"/>
        <w:rPr/>
      </w:pPr>
      <w:r>
        <w:rPr>
          <w:sz w:val="28"/>
          <w:szCs w:val="28"/>
        </w:rPr>
        <w:t xml:space="preserve">Moreover, nearly a decade after </w:t>
      </w:r>
      <w:r>
        <w:rPr>
          <w:sz w:val="28"/>
          <w:szCs w:val="28"/>
          <w:u w:val="single"/>
        </w:rPr>
        <w:t>Gulf States</w:t>
      </w:r>
      <w:r>
        <w:rPr>
          <w:sz w:val="28"/>
          <w:szCs w:val="28"/>
        </w:rPr>
        <w:t xml:space="preserve">, FERC adopted Order 888, which established a new comprehensive and detailed formula for the provision of service on transmission facilities in interstate commerce.  The FERC in Order 888 has made the provision of the tariff obligating utilities to allocate service among customers in strict conformance with the FERC’s hierarchy of priorities, a central and indispensable feature of its regulatory program.  </w:t>
      </w:r>
      <w:r>
        <w:rPr>
          <w:sz w:val="28"/>
          <w:szCs w:val="28"/>
          <w:u w:val="single"/>
        </w:rPr>
        <w:t>Id</w:t>
      </w:r>
      <w:r>
        <w:rPr>
          <w:i/>
          <w:iCs/>
          <w:sz w:val="28"/>
          <w:szCs w:val="28"/>
        </w:rPr>
        <w:t>.</w:t>
      </w:r>
      <w:r>
        <w:rPr>
          <w:sz w:val="28"/>
          <w:szCs w:val="28"/>
        </w:rPr>
        <w:t xml:space="preserve"> at 31,652.  </w:t>
      </w:r>
    </w:p>
    <w:p>
      <w:pPr>
        <w:pStyle w:val="Text"/>
        <w:spacing w:lineRule="auto" w:line="480" w:before="0" w:after="0"/>
        <w:ind w:firstLine="720" w:end="0"/>
        <w:rPr/>
      </w:pPr>
      <w:r>
        <w:rPr>
          <w:sz w:val="28"/>
          <w:szCs w:val="28"/>
        </w:rPr>
        <w:t xml:space="preserve">Thus, to the extent that as TANC alleges, </w:t>
      </w:r>
      <w:r>
        <w:rPr>
          <w:sz w:val="28"/>
          <w:szCs w:val="28"/>
          <w:u w:val="single"/>
        </w:rPr>
        <w:t xml:space="preserve">Gulf States </w:t>
      </w:r>
      <w:r>
        <w:rPr>
          <w:sz w:val="28"/>
          <w:szCs w:val="28"/>
        </w:rPr>
        <w:t xml:space="preserve">can be read to state, that it applies only to rates and not to terms and conditions of service such as the priority to be afforded to a request for service by different customers pursuant to an open access tariff, it plainly is in conflict with current law, which provides to the contrary.  </w:t>
      </w:r>
    </w:p>
    <w:p>
      <w:pPr>
        <w:pStyle w:val="Text"/>
        <w:spacing w:lineRule="auto" w:line="480" w:before="0" w:after="0"/>
        <w:ind w:firstLine="720" w:end="0"/>
        <w:rPr/>
      </w:pPr>
      <w:r>
        <w:rPr>
          <w:sz w:val="28"/>
          <w:szCs w:val="28"/>
        </w:rPr>
        <w:t xml:space="preserve">TANC’s reading of </w:t>
      </w:r>
      <w:r>
        <w:rPr>
          <w:sz w:val="28"/>
          <w:szCs w:val="28"/>
          <w:u w:val="single"/>
        </w:rPr>
        <w:t>Gulf States</w:t>
      </w:r>
      <w:r>
        <w:rPr>
          <w:i/>
          <w:iCs/>
          <w:sz w:val="28"/>
          <w:szCs w:val="28"/>
        </w:rPr>
        <w:t xml:space="preserve"> </w:t>
      </w:r>
      <w:r>
        <w:rPr>
          <w:sz w:val="28"/>
          <w:szCs w:val="28"/>
        </w:rPr>
        <w:t xml:space="preserve">is in conflict with a later decision of this Court, </w:t>
      </w:r>
      <w:r>
        <w:rPr>
          <w:sz w:val="28"/>
          <w:szCs w:val="28"/>
          <w:u w:val="single"/>
        </w:rPr>
        <w:t>County of Stanislaus v. Pacific Gas &amp; Electric</w:t>
      </w:r>
      <w:r>
        <w:rPr>
          <w:sz w:val="28"/>
          <w:szCs w:val="28"/>
        </w:rPr>
        <w:t xml:space="preserve">, 114 F.3d 858 (9th Cir. 1997).  There, this Court plainly construed the filed rate doctrine to bar an action — whether brought under state or federal law — based on a denial of access to a interstate natural gas transmission system.  The Court reasoned that FERC administers several programs that provided transportation rights on the pipelines and pursuant to which the access was provided.  </w:t>
      </w:r>
      <w:r>
        <w:rPr>
          <w:sz w:val="28"/>
          <w:szCs w:val="28"/>
          <w:u w:val="single"/>
        </w:rPr>
        <w:t>Id.</w:t>
      </w:r>
      <w:r>
        <w:rPr>
          <w:sz w:val="28"/>
          <w:szCs w:val="28"/>
        </w:rPr>
        <w:t xml:space="preserve"> at 862</w:t>
      </w:r>
      <w:r>
        <w:rPr>
          <w:i/>
          <w:iCs/>
          <w:sz w:val="28"/>
          <w:szCs w:val="28"/>
        </w:rPr>
        <w:t>.</w:t>
      </w:r>
      <w:r>
        <w:rPr>
          <w:sz w:val="28"/>
          <w:szCs w:val="28"/>
        </w:rPr>
        <w:t xml:space="preserve"> </w:t>
      </w:r>
    </w:p>
    <w:p>
      <w:pPr>
        <w:pStyle w:val="Text"/>
        <w:spacing w:lineRule="auto" w:line="480" w:before="0" w:after="0"/>
        <w:ind w:firstLine="720" w:end="0"/>
        <w:rPr/>
      </w:pPr>
      <w:r>
        <w:rPr>
          <w:sz w:val="28"/>
          <w:szCs w:val="28"/>
        </w:rPr>
        <w:t>The plaintiffs claimed that the they were denied access to the pipeline in an unlawful manner under the Antitrust Laws of the United States to foreclose competitors from shipping less expensive gas to them than the gas sold by the pipeline company’s affiliated producer.  The Ninth Circuit barred the claim because the affiliate transmitted the natural gas pursuant to the pipeline company’s FERC</w:t>
        <w:noBreakHyphen/>
        <w:t xml:space="preserve">approved tariff.  </w:t>
      </w:r>
      <w:r>
        <w:rPr>
          <w:sz w:val="28"/>
          <w:szCs w:val="28"/>
          <w:u w:val="single"/>
        </w:rPr>
        <w:t>Id.</w:t>
      </w:r>
    </w:p>
    <w:p>
      <w:pPr>
        <w:pStyle w:val="Text"/>
        <w:spacing w:lineRule="auto" w:line="480" w:before="0" w:after="0"/>
        <w:ind w:firstLine="720" w:end="0"/>
        <w:rPr/>
      </w:pPr>
      <w:r>
        <w:rPr>
          <w:sz w:val="28"/>
          <w:szCs w:val="28"/>
        </w:rPr>
        <w:t xml:space="preserve">There was no issue in </w:t>
      </w:r>
      <w:r>
        <w:rPr>
          <w:sz w:val="28"/>
          <w:szCs w:val="28"/>
          <w:u w:val="single"/>
        </w:rPr>
        <w:t>Stanislaus</w:t>
      </w:r>
      <w:r>
        <w:rPr>
          <w:sz w:val="28"/>
          <w:szCs w:val="28"/>
        </w:rPr>
        <w:t xml:space="preserve"> of different rates being made available to affiliates and nonaffiliates.  The issue was one of priority of access, specifically, whether nonaffiliated shippers were denied access in preference to the affiliated shipper of the pipeline company regulated by FERC.  </w:t>
      </w:r>
      <w:r>
        <w:rPr>
          <w:sz w:val="28"/>
          <w:szCs w:val="28"/>
          <w:u w:val="single"/>
        </w:rPr>
        <w:t>Id.</w:t>
      </w:r>
      <w:r>
        <w:rPr>
          <w:sz w:val="28"/>
          <w:szCs w:val="28"/>
        </w:rPr>
        <w:t xml:space="preserve"> at 862-63.  This, in essence, is the nature of the claim of TANC as well.  For all these reasons, the determination of TANC’s state law claims interfere with FERC’s regulatory authority and should therefore be preempted by federal law.</w:t>
      </w:r>
    </w:p>
    <w:p>
      <w:pPr>
        <w:pStyle w:val="Text"/>
        <w:spacing w:lineRule="auto" w:line="480" w:before="0" w:after="0"/>
        <w:ind w:firstLine="720" w:end="0"/>
        <w:rPr/>
      </w:pPr>
      <w:r>
        <w:rPr>
          <w:sz w:val="28"/>
          <w:szCs w:val="28"/>
        </w:rPr>
        <w:t xml:space="preserve">Similarly, TANC misuses </w:t>
      </w:r>
      <w:r>
        <w:rPr>
          <w:sz w:val="28"/>
          <w:szCs w:val="28"/>
          <w:u w:val="single"/>
        </w:rPr>
        <w:t>County of Stanislaus</w:t>
      </w:r>
      <w:r>
        <w:rPr>
          <w:sz w:val="28"/>
          <w:szCs w:val="28"/>
        </w:rPr>
        <w:t xml:space="preserve"> and </w:t>
      </w:r>
      <w:r>
        <w:rPr>
          <w:sz w:val="28"/>
          <w:szCs w:val="28"/>
          <w:u w:val="single"/>
        </w:rPr>
        <w:t>Nantahala</w:t>
      </w:r>
      <w:r>
        <w:rPr>
          <w:sz w:val="28"/>
          <w:szCs w:val="28"/>
        </w:rPr>
        <w:t xml:space="preserve">, as establishing that only rate matters are left to exclusive federal jurisdiction.  [AOB 41].  In </w:t>
      </w:r>
      <w:r>
        <w:rPr>
          <w:sz w:val="28"/>
          <w:szCs w:val="28"/>
          <w:u w:val="single"/>
        </w:rPr>
        <w:t>County of Stanislaus</w:t>
      </w:r>
      <w:r>
        <w:rPr>
          <w:sz w:val="28"/>
          <w:szCs w:val="28"/>
        </w:rPr>
        <w:t xml:space="preserve"> and </w:t>
      </w:r>
      <w:r>
        <w:rPr>
          <w:sz w:val="28"/>
          <w:szCs w:val="28"/>
          <w:u w:val="single"/>
        </w:rPr>
        <w:t>Nantahala</w:t>
      </w:r>
      <w:r>
        <w:rPr>
          <w:sz w:val="28"/>
          <w:szCs w:val="28"/>
        </w:rPr>
        <w:t xml:space="preserve">, it was established that the “filed rate” doctrine applies not only to rates, but to terms and conditions of service. As the Court stated in </w:t>
      </w:r>
      <w:r>
        <w:rPr>
          <w:sz w:val="28"/>
          <w:szCs w:val="28"/>
          <w:u w:val="single"/>
        </w:rPr>
        <w:t>Nantahala</w:t>
      </w:r>
      <w:r>
        <w:rPr>
          <w:sz w:val="28"/>
          <w:szCs w:val="28"/>
        </w:rPr>
        <w:t xml:space="preserve">, “the ‘filed rate’ doctrine is not limited to ‘rates’ </w:t>
      </w:r>
      <w:r>
        <w:rPr>
          <w:i/>
          <w:iCs/>
          <w:sz w:val="28"/>
          <w:szCs w:val="28"/>
        </w:rPr>
        <w:t>per se</w:t>
      </w:r>
      <w:r>
        <w:rPr>
          <w:sz w:val="28"/>
          <w:szCs w:val="28"/>
        </w:rPr>
        <w:t>: ‘our inquiry is not at an end because the orders do not deal in terms of prices or volumes of purchases.’” 476 U.S. at 966 (citations omitted). For purposes of transmission service, the terms and conditions of service include access rights. [CITE]</w:t>
      </w:r>
    </w:p>
    <w:p>
      <w:pPr>
        <w:pStyle w:val="Text"/>
        <w:spacing w:lineRule="auto" w:line="480" w:before="0" w:after="0"/>
        <w:ind w:firstLine="720" w:end="0"/>
        <w:rPr/>
      </w:pPr>
      <w:r>
        <w:rPr>
          <w:sz w:val="28"/>
          <w:szCs w:val="28"/>
        </w:rPr>
        <w:t xml:space="preserve">Moreover, TANC’s view of </w:t>
      </w:r>
      <w:r>
        <w:rPr>
          <w:sz w:val="28"/>
          <w:szCs w:val="28"/>
          <w:u w:val="single"/>
        </w:rPr>
        <w:t>County of Stanislaus</w:t>
      </w:r>
      <w:r>
        <w:rPr>
          <w:sz w:val="28"/>
          <w:szCs w:val="28"/>
        </w:rPr>
        <w:t xml:space="preserve"> and </w:t>
      </w:r>
      <w:r>
        <w:rPr>
          <w:sz w:val="28"/>
          <w:szCs w:val="28"/>
          <w:u w:val="single"/>
        </w:rPr>
        <w:t>Nantahala</w:t>
      </w:r>
      <w:r>
        <w:rPr>
          <w:sz w:val="28"/>
          <w:szCs w:val="28"/>
        </w:rPr>
        <w:t xml:space="preserve"> is illogical. The fact that exclusive federal jurisdiction applies to rates does not mean that access matters are subject to concurrent oversight by the states. Rather, as stated by the District Court, the inquiry is whether a proposed state law action would interfere with </w:t>
      </w:r>
      <w:r>
        <w:rPr>
          <w:i/>
          <w:iCs/>
          <w:sz w:val="28"/>
          <w:szCs w:val="28"/>
        </w:rPr>
        <w:t>any</w:t>
      </w:r>
      <w:r>
        <w:rPr>
          <w:sz w:val="28"/>
          <w:szCs w:val="28"/>
        </w:rPr>
        <w:t xml:space="preserve"> of the matters left to federal jurisdiction:</w:t>
      </w:r>
    </w:p>
    <w:p>
      <w:pPr>
        <w:pStyle w:val="Text"/>
        <w:spacing w:before="0" w:after="240"/>
        <w:ind w:hanging="0" w:start="720" w:end="720"/>
        <w:rPr/>
      </w:pPr>
      <w:r>
        <w:rPr>
          <w:sz w:val="28"/>
          <w:szCs w:val="28"/>
        </w:rPr>
        <w:t xml:space="preserve">The pertinent question is not whether this action implicates FERC’s rate-making powers, but rather, whether TANC’s claims implicate </w:t>
      </w:r>
      <w:r>
        <w:rPr>
          <w:i/>
          <w:iCs/>
          <w:sz w:val="28"/>
          <w:szCs w:val="28"/>
        </w:rPr>
        <w:t>any</w:t>
      </w:r>
      <w:r>
        <w:rPr>
          <w:sz w:val="28"/>
          <w:szCs w:val="28"/>
        </w:rPr>
        <w:t xml:space="preserve"> of FERC’s regulatory powers under the FPA.</w:t>
      </w:r>
    </w:p>
    <w:p>
      <w:pPr>
        <w:pStyle w:val="Text"/>
        <w:spacing w:lineRule="auto" w:line="480" w:before="0" w:after="0"/>
        <w:ind w:hanging="0" w:end="0"/>
        <w:rPr>
          <w:sz w:val="28"/>
          <w:szCs w:val="28"/>
        </w:rPr>
      </w:pPr>
      <w:r>
        <w:rPr>
          <w:sz w:val="28"/>
          <w:szCs w:val="28"/>
        </w:rPr>
        <w:t>[ER 188] (emphasis added).</w:t>
      </w:r>
    </w:p>
    <w:p>
      <w:pPr>
        <w:pStyle w:val="Text"/>
        <w:spacing w:lineRule="auto" w:line="480" w:before="0" w:after="0"/>
        <w:ind w:firstLine="720" w:end="0"/>
        <w:rPr>
          <w:sz w:val="28"/>
          <w:szCs w:val="28"/>
        </w:rPr>
      </w:pPr>
      <w:r>
        <w:rPr>
          <w:sz w:val="28"/>
          <w:szCs w:val="28"/>
        </w:rPr>
        <w:t xml:space="preserve">Finally, as stated by the District Court, unlike </w:t>
      </w:r>
      <w:r>
        <w:rPr>
          <w:sz w:val="28"/>
          <w:szCs w:val="28"/>
          <w:u w:val="single"/>
        </w:rPr>
        <w:t>Gulf States</w:t>
      </w:r>
      <w:r>
        <w:rPr>
          <w:sz w:val="28"/>
          <w:szCs w:val="28"/>
        </w:rPr>
        <w:t>, the same basic dispute that was before the Court was not pending before FERC, also.  In sum, the critical considerations here are (1) that Congress and FERC have asserted exclusive federal jurisdiction over transmission access, and (2) that TANC’s proposed action would apply state law to determining access rights. The judgment below may be affirmed on this basis alone.</w:t>
      </w:r>
      <w:r>
        <w:rPr>
          <w:rStyle w:val="FootnoteCharacters"/>
          <w:rStyle w:val="FootnoteReference"/>
          <w:sz w:val="28"/>
          <w:szCs w:val="28"/>
        </w:rPr>
        <w:footnoteReference w:id="9"/>
      </w:r>
    </w:p>
    <w:p>
      <w:pPr>
        <w:pStyle w:val="Text"/>
        <w:spacing w:before="0" w:after="240"/>
        <w:ind w:hanging="720" w:start="1440" w:end="720"/>
        <w:rPr/>
      </w:pPr>
      <w:r>
        <w:fldChar w:fldCharType="begin"/>
      </w:r>
      <w:r>
        <w:rPr>
          <w:sz w:val="28"/>
          <w:b/>
          <w:szCs w:val="28"/>
          <w:bCs/>
          <w:lang w:val="en-CA"/>
        </w:rPr>
        <w:instrText xml:space="preserve"> QUOTE "</w:instrText>
      </w:r>
      <w:bookmarkStart w:id="12" w:name="WCTOCLevel2Mark8in1BGZ04"/>
      <w:r>
        <w:rPr>
          <w:b/>
          <w:bCs/>
          <w:sz w:val="28"/>
          <w:szCs w:val="28"/>
          <w:lang w:val="en-CA"/>
        </w:rPr>
      </w:r>
      <w:r>
        <w:rPr>
          <w:sz w:val="28"/>
          <w:b/>
          <w:szCs w:val="28"/>
          <w:bCs/>
          <w:lang w:val="en-CA"/>
        </w:rPr>
        <w:fldChar w:fldCharType="separate"/>
      </w:r>
      <w:r>
        <w:rPr>
          <w:b/>
          <w:bCs/>
          <w:sz w:val="28"/>
          <w:szCs w:val="28"/>
          <w:lang w:val="en-CA"/>
        </w:rPr>
        <w:t>C.</w:t>
      </w:r>
      <w:r>
        <w:rPr>
          <w:b/>
          <w:bCs/>
          <w:sz w:val="28"/>
          <w:szCs w:val="28"/>
          <w:lang w:val="en-CA"/>
        </w:rPr>
      </w:r>
      <w:r>
        <w:rPr>
          <w:sz w:val="28"/>
          <w:b/>
          <w:szCs w:val="28"/>
          <w:bCs/>
          <w:lang w:val="en-CA"/>
        </w:rPr>
        <w:fldChar w:fldCharType="end"/>
      </w:r>
      <w:r>
        <w:rPr>
          <w:b/>
          <w:bCs/>
          <w:sz w:val="28"/>
          <w:szCs w:val="28"/>
        </w:rPr>
        <w:tab/>
        <w:t>TANC’S STATE LAW CLAIMS WOULD IMPERMISSIBLY CONFLICT WITH FERC’S TRANSMISSION AND FILED RATE DOCTRINES</w:t>
      </w:r>
      <w:bookmarkEnd w:id="12"/>
    </w:p>
    <w:p>
      <w:pPr>
        <w:pStyle w:val="Text"/>
        <w:ind w:hanging="720" w:start="2160" w:end="720"/>
        <w:rPr>
          <w:b/>
          <w:bCs/>
          <w:sz w:val="28"/>
          <w:szCs w:val="28"/>
        </w:rPr>
      </w:pPr>
      <w:bookmarkStart w:id="13" w:name="WCTOCLevel3Mark9in1BGZ04"/>
      <w:r>
        <w:rPr>
          <w:b/>
          <w:bCs/>
          <w:sz w:val="28"/>
          <w:szCs w:val="28"/>
        </w:rPr>
        <w:t>1.</w:t>
        <w:tab/>
        <w:t>The State Court Action Would Violate FERC’s Open Access Directive Embodied In Order 888</w:t>
      </w:r>
      <w:bookmarkEnd w:id="13"/>
    </w:p>
    <w:p>
      <w:pPr>
        <w:pStyle w:val="Text"/>
        <w:spacing w:lineRule="auto" w:line="480" w:before="0" w:after="0"/>
        <w:ind w:firstLine="720" w:end="0"/>
        <w:rPr>
          <w:sz w:val="28"/>
          <w:szCs w:val="28"/>
        </w:rPr>
      </w:pPr>
      <w:r>
        <w:rPr>
          <w:sz w:val="28"/>
          <w:szCs w:val="28"/>
        </w:rPr>
        <w:t>TANC erroneously states that FERC has no application here.  [AOB 47]  Nothing could be further from the truth.  In fact, Order 888 bars each of TANC’s state causes of actions.</w:t>
      </w:r>
    </w:p>
    <w:p>
      <w:pPr>
        <w:pStyle w:val="Text"/>
        <w:spacing w:lineRule="auto" w:line="480" w:before="0" w:after="0"/>
        <w:ind w:firstLine="720" w:end="0"/>
        <w:rPr>
          <w:sz w:val="28"/>
          <w:szCs w:val="28"/>
        </w:rPr>
      </w:pPr>
      <w:r>
        <w:rPr>
          <w:sz w:val="28"/>
          <w:szCs w:val="28"/>
        </w:rPr>
        <w:t>The FERC’s regulations provide that it alone is responsible for regulating its industry-wide open-access requirements including:  (1) procedures for reserving and scheduling the use of transmission; (2) transmission rates; (3) curtailment priorities; (4) rules for extending or terminating service; (5) interconnection procedures; and (5) other rules and practices.  16 U.S.C. § 824e.  In keeping with these responsibilities, and in response to enactment of the Energy Policy Act of 1992 which ordered transmission owners to provide access to third parties in order to promote competition and encourage the development of wholesale power markets,</w:t>
      </w:r>
      <w:r>
        <w:rPr>
          <w:rStyle w:val="FootnoteCharacters"/>
          <w:rStyle w:val="FootnoteReference"/>
        </w:rPr>
        <w:footnoteReference w:id="10"/>
      </w:r>
      <w:r>
        <w:rPr>
          <w:sz w:val="28"/>
          <w:szCs w:val="28"/>
        </w:rPr>
        <w:t xml:space="preserve"> the FERC issued Order 888 on April 24, 1996 to end discriminatory and anticompetitive practices in the electricity market and to ensure that electricity customers pay the lowest prices possible.</w:t>
      </w:r>
      <w:r>
        <w:rPr>
          <w:rStyle w:val="FootnoteCharacters"/>
          <w:rStyle w:val="FootnoteReference"/>
        </w:rPr>
        <w:footnoteReference w:id="11"/>
      </w:r>
    </w:p>
    <w:p>
      <w:pPr>
        <w:pStyle w:val="Text"/>
        <w:spacing w:lineRule="auto" w:line="480" w:before="0" w:after="0"/>
        <w:ind w:firstLine="720" w:end="0"/>
        <w:rPr>
          <w:b/>
          <w:bCs/>
          <w:sz w:val="28"/>
          <w:szCs w:val="28"/>
        </w:rPr>
      </w:pPr>
      <w:r>
        <w:rPr>
          <w:sz w:val="28"/>
          <w:szCs w:val="28"/>
        </w:rPr>
        <w:t xml:space="preserve">FERC determined that competition could and should supplant rate regulation for the production and sale of power if, </w:t>
      </w:r>
      <w:r>
        <w:rPr>
          <w:sz w:val="28"/>
          <w:szCs w:val="28"/>
          <w:u w:val="single"/>
        </w:rPr>
        <w:t>but only if</w:t>
      </w:r>
      <w:r>
        <w:rPr>
          <w:sz w:val="28"/>
          <w:szCs w:val="28"/>
        </w:rPr>
        <w:t>, producers or power could be confident that they would have available nondiscriminatory access to transmission facilities necessary to transmit their power to markets without any abuse of monopoly power by the owners of transmission.  [Order 888 at 31,634].</w:t>
      </w:r>
    </w:p>
    <w:p>
      <w:pPr>
        <w:pStyle w:val="Text"/>
        <w:spacing w:lineRule="auto" w:line="480" w:before="0" w:after="0"/>
        <w:ind w:firstLine="720" w:end="0"/>
        <w:rPr/>
      </w:pPr>
      <w:r>
        <w:rPr>
          <w:sz w:val="28"/>
          <w:szCs w:val="28"/>
        </w:rPr>
        <w:t>Accordingly, the centerpiece of this new regulatory regime is a set of comprehensive procedures governing how requests by would</w:t>
        <w:noBreakHyphen/>
        <w:t xml:space="preserve">be users of transmission service are to be processed by the owners of transmission.  The FERC stated, and the Court of Appeals affirmed, the issuance of this broad national rule in order to eliminate “undue discrimination” which is unlawful under the Federal Power Act.  [Order 888 at 31,699]; </w:t>
      </w:r>
      <w:r>
        <w:rPr>
          <w:sz w:val="28"/>
          <w:szCs w:val="28"/>
          <w:u w:val="single"/>
        </w:rPr>
        <w:t>Transmission Access Policy Study Group v. FERC</w:t>
      </w:r>
      <w:r>
        <w:rPr>
          <w:sz w:val="28"/>
          <w:szCs w:val="28"/>
        </w:rPr>
        <w:t>, 225 F.3d 667, 682, 685 (D.C. Cir. 2000) (as amended November 14, 2000) (finding that FERC’s Order 888 open access requirement is authorized by and consistent with, the FPA.)</w:t>
      </w:r>
    </w:p>
    <w:p>
      <w:pPr>
        <w:pStyle w:val="Text"/>
        <w:spacing w:lineRule="auto" w:line="480" w:before="0" w:after="0"/>
        <w:ind w:firstLine="720" w:end="0"/>
        <w:rPr/>
      </w:pPr>
      <w:r>
        <w:rPr>
          <w:sz w:val="28"/>
          <w:szCs w:val="28"/>
        </w:rPr>
        <w:t xml:space="preserve">Specifically, the FERC, and the reviewing court affirming its Order No. 888, in part, determined that denials of service or conditioning of service by transmission owners and the priorities accorded to different customers for service created the potential for anti-competitive behavior.  Such behavior would thwart the efficient functioning of competitive power markets that the FERC sought to promote by its rule as the means to protect consumers’ interests in reasonable prices for power generation.  [Order 888 at 31,634, 31,726]; </w:t>
      </w:r>
      <w:r>
        <w:rPr>
          <w:sz w:val="28"/>
          <w:szCs w:val="28"/>
          <w:u w:val="single"/>
        </w:rPr>
        <w:t>Transmission Access</w:t>
      </w:r>
      <w:r>
        <w:rPr>
          <w:sz w:val="28"/>
          <w:szCs w:val="28"/>
        </w:rPr>
        <w:t>, 225 F.3d at 689.</w:t>
      </w:r>
    </w:p>
    <w:p>
      <w:pPr>
        <w:pStyle w:val="Text"/>
        <w:spacing w:lineRule="auto" w:line="480" w:before="0" w:after="0"/>
        <w:ind w:firstLine="720" w:end="0"/>
        <w:rPr/>
      </w:pPr>
      <w:r>
        <w:rPr>
          <w:sz w:val="28"/>
          <w:szCs w:val="28"/>
        </w:rPr>
        <w:t xml:space="preserve">All uses of the interstate transmission system in the United States now are governed by these open access tariffs.  [Order 888 at 31,636].  FERC established detailed “pro forma” tariffs that were published as part of its rule that every transmission owner subject to FERC’s jurisdiction as a public utility was required to adopt.  </w:t>
      </w:r>
      <w:r>
        <w:rPr>
          <w:sz w:val="28"/>
          <w:szCs w:val="28"/>
          <w:u w:val="single"/>
        </w:rPr>
        <w:t>Id</w:t>
      </w:r>
      <w:r>
        <w:rPr>
          <w:sz w:val="28"/>
          <w:szCs w:val="28"/>
        </w:rPr>
        <w:t xml:space="preserve">.  The preamble to the rule devotes multiple pages to the order of priority in determining competing requests for the available capacity on a transmission system.  [Order 888 at 31,661-66, 31,744-48].  The FERC established a hierarchy pursuant to which the owner of transmission must allocate capacity when requests for service exceed available capacity for service in any hour.  </w:t>
      </w:r>
      <w:r>
        <w:rPr>
          <w:sz w:val="28"/>
          <w:szCs w:val="28"/>
          <w:u w:val="single"/>
        </w:rPr>
        <w:t>Id</w:t>
      </w:r>
      <w:r>
        <w:rPr>
          <w:sz w:val="28"/>
          <w:szCs w:val="28"/>
        </w:rPr>
        <w:t>.  This hierarchy is embodied in the pro forma tariff accompanying Order 888.</w:t>
      </w:r>
    </w:p>
    <w:p>
      <w:pPr>
        <w:pStyle w:val="Text"/>
        <w:spacing w:lineRule="auto" w:line="480" w:before="0" w:after="0"/>
        <w:ind w:firstLine="720" w:end="0"/>
        <w:rPr/>
      </w:pPr>
      <w:r>
        <w:rPr>
          <w:sz w:val="28"/>
          <w:szCs w:val="28"/>
        </w:rPr>
        <w:t xml:space="preserve">For this purpose, the FERC’s hierarchy can be divided conceptually into three broad categories.  First are so-called "firm" contracts to reserve capacity.  Firm contracts require a two-part rate:  a reservation charge and a usage charge.  A reservation charge is owed even when the customer does not use the capacity.  </w:t>
      </w:r>
      <w:r>
        <w:rPr>
          <w:sz w:val="28"/>
          <w:szCs w:val="28"/>
          <w:u w:val="single"/>
        </w:rPr>
        <w:t>Id</w:t>
      </w:r>
      <w:r>
        <w:rPr>
          <w:sz w:val="28"/>
          <w:szCs w:val="28"/>
        </w:rPr>
        <w:t>. at 31,746-47.</w:t>
      </w:r>
    </w:p>
    <w:p>
      <w:pPr>
        <w:pStyle w:val="Text"/>
        <w:spacing w:lineRule="auto" w:line="480" w:before="0" w:after="0"/>
        <w:ind w:firstLine="720" w:end="0"/>
        <w:rPr/>
      </w:pPr>
      <w:r>
        <w:rPr>
          <w:sz w:val="28"/>
          <w:szCs w:val="28"/>
        </w:rPr>
        <w:t xml:space="preserve">Next, those customers that have not reserved firm service and whose request for service therefore would not entail payment of a charge whether or not they used the service, are lower in priority.  </w:t>
      </w:r>
      <w:r>
        <w:rPr>
          <w:sz w:val="28"/>
          <w:szCs w:val="28"/>
          <w:u w:val="single"/>
        </w:rPr>
        <w:t>Id</w:t>
      </w:r>
      <w:r>
        <w:rPr>
          <w:sz w:val="28"/>
          <w:szCs w:val="28"/>
        </w:rPr>
        <w:t xml:space="preserve">. at 31,748.  For these non-firm customers, they are further stratified according to the price that they have offered.  </w:t>
      </w:r>
      <w:r>
        <w:rPr>
          <w:sz w:val="28"/>
          <w:szCs w:val="28"/>
          <w:u w:val="single"/>
        </w:rPr>
        <w:t>Id</w:t>
      </w:r>
      <w:r>
        <w:rPr>
          <w:sz w:val="28"/>
          <w:szCs w:val="28"/>
        </w:rPr>
        <w:t>. (see also pro forma tariff at § 14.2).</w:t>
      </w:r>
    </w:p>
    <w:p>
      <w:pPr>
        <w:pStyle w:val="Text"/>
        <w:spacing w:lineRule="auto" w:line="480" w:before="0" w:after="0"/>
        <w:ind w:firstLine="720" w:end="0"/>
        <w:rPr>
          <w:sz w:val="28"/>
          <w:szCs w:val="28"/>
        </w:rPr>
      </w:pPr>
      <w:r>
        <w:rPr>
          <w:sz w:val="28"/>
          <w:szCs w:val="28"/>
        </w:rPr>
        <w:t>In short, the hierarchy that was established was intended to mimic the allocation of power generation of resources that would occur in a free market in which there is no monopoly transmission service that stands between the producer of the commodity and the recipient or user.  This condition is essential to induce investors to spend billions of dollars to construct new power generation facilities that would have no value if the power could not reach market centers.</w:t>
      </w:r>
    </w:p>
    <w:p>
      <w:pPr>
        <w:pStyle w:val="Text"/>
        <w:spacing w:lineRule="auto" w:line="480" w:before="0" w:after="0"/>
        <w:ind w:firstLine="720" w:end="0"/>
        <w:rPr>
          <w:sz w:val="28"/>
          <w:szCs w:val="28"/>
        </w:rPr>
      </w:pPr>
      <w:r>
        <w:rPr>
          <w:sz w:val="28"/>
          <w:szCs w:val="28"/>
        </w:rPr>
        <w:t>It is undisputed that, at the time of its investment in its facilities, TANC had full opportunity to secure long</w:t>
        <w:noBreakHyphen/>
        <w:t xml:space="preserve">term service over the Northwest AC Intertie and, through such commercial mechanisms, to establish legitimate expectations about the future availability and cost of service over the Northwest AC Intertie.  Not only did TANC fail to enter into any such commercial arrangement, TANC expressly </w:t>
      </w:r>
      <w:r>
        <w:rPr>
          <w:i/>
          <w:iCs/>
          <w:sz w:val="28"/>
          <w:szCs w:val="28"/>
        </w:rPr>
        <w:t>rejected</w:t>
      </w:r>
      <w:r>
        <w:rPr>
          <w:sz w:val="28"/>
          <w:szCs w:val="28"/>
        </w:rPr>
        <w:t xml:space="preserve"> an offer by the Northwest Parties to dedicate as much as 1600 MW to transfers to California.  [CITE]  By doing so, TANC maximized its flexibility to use its facilities for other purposes.  [CITE]  The notion that TANC can now collect a ransom from the Northwest Parties and Nevada customers for non</w:t>
        <w:noBreakHyphen/>
        <w:t>California uses of the Northwest AC Intertie, supposedly to protect TANC’s investment in its facilities, is beyond the pale.</w:t>
      </w:r>
      <w:r>
        <w:rPr>
          <w:rStyle w:val="FootnoteCharacters"/>
          <w:rStyle w:val="FootnoteReference"/>
        </w:rPr>
        <w:footnoteReference w:id="12"/>
      </w:r>
    </w:p>
    <w:p>
      <w:pPr>
        <w:pStyle w:val="Text"/>
        <w:spacing w:lineRule="auto" w:line="480" w:before="0" w:after="0"/>
        <w:ind w:firstLine="720" w:end="0"/>
        <w:rPr/>
      </w:pPr>
      <w:r>
        <w:rPr>
          <w:sz w:val="28"/>
          <w:szCs w:val="28"/>
        </w:rPr>
        <w:t>TANC’s basic claim is that it is entitled to a 4800 MW transmission capacity at the California border.  [ER 39]  But the Interim Interconnection Agreement expressly provides for a dedication of only 800 MW on the Northwest AC Intertie to transfers to California.</w:t>
      </w:r>
      <w:r>
        <w:rPr>
          <w:rStyle w:val="FootnoteCharacters"/>
          <w:rStyle w:val="FootnoteReference"/>
        </w:rPr>
        <w:footnoteReference w:id="13"/>
      </w:r>
      <w:r>
        <w:rPr>
          <w:sz w:val="28"/>
          <w:szCs w:val="28"/>
        </w:rPr>
        <w:t xml:space="preserve">  In addition to thus contradicting TANC’s interpretation, the applicable agreement lack basic provisions concerning term, enforcement, remedy </w:t>
        <w:noBreakHyphen/>
        <w:t xml:space="preserve"> or a </w:t>
      </w:r>
      <w:r>
        <w:rPr>
          <w:i/>
          <w:iCs/>
          <w:sz w:val="28"/>
          <w:szCs w:val="28"/>
        </w:rPr>
        <w:t>quid pro quo</w:t>
      </w:r>
      <w:r>
        <w:rPr>
          <w:sz w:val="28"/>
          <w:szCs w:val="28"/>
        </w:rPr>
        <w:t xml:space="preserve"> for giving California a priority to use all 4800 MW on the Northwest AC Intertie.  The notion that agreements of this nature entitle TANC to control access to hundreds of millions of dollars worth of transmission facilities owned by third parties </w:t>
        <w:noBreakHyphen/>
        <w:t xml:space="preserve"> and thereby to control the regional allocation of electric power resources </w:t>
        <w:noBreakHyphen/>
        <w:t xml:space="preserve"> is beyond reason.</w:t>
      </w:r>
    </w:p>
    <w:p>
      <w:pPr>
        <w:pStyle w:val="Text"/>
        <w:spacing w:lineRule="auto" w:line="480" w:before="0" w:after="0"/>
        <w:ind w:firstLine="720" w:end="0"/>
        <w:rPr>
          <w:sz w:val="28"/>
          <w:szCs w:val="28"/>
        </w:rPr>
      </w:pPr>
      <w:r>
        <w:rPr>
          <w:sz w:val="28"/>
          <w:szCs w:val="28"/>
        </w:rPr>
        <w:t>Most importantly, as the FERC’s ALJ noted, TANC admits that the agreements do not govern rights to use the Northwest AC Intertie.  [CITE]  The administrative law judge concluded therefore that TANC’s claims’ under the agreements are without merit:</w:t>
      </w:r>
    </w:p>
    <w:p>
      <w:pPr>
        <w:pStyle w:val="Text"/>
        <w:spacing w:before="0" w:after="0"/>
        <w:ind w:hanging="0" w:start="1440" w:end="1440"/>
        <w:rPr>
          <w:sz w:val="28"/>
          <w:szCs w:val="28"/>
        </w:rPr>
      </w:pPr>
      <w:r>
        <w:rPr>
          <w:sz w:val="28"/>
          <w:szCs w:val="28"/>
        </w:rPr>
        <w:t>Because of their admission that there was no agreement regarding their use of the Northwest AC Intertie to import power into California, it is difficult to see any merit in [TANC’s] argument</w:t>
      </w:r>
    </w:p>
    <w:p>
      <w:pPr>
        <w:pStyle w:val="Text"/>
        <w:spacing w:lineRule="auto" w:line="480" w:before="240" w:after="0"/>
        <w:ind w:hanging="0" w:end="1440"/>
        <w:rPr>
          <w:sz w:val="28"/>
          <w:szCs w:val="28"/>
        </w:rPr>
      </w:pPr>
      <w:r>
        <w:rPr>
          <w:sz w:val="28"/>
          <w:szCs w:val="28"/>
        </w:rPr>
        <w:t>[Second Supplemental Request for Judicial Notice at 206</w:t>
        <w:noBreakHyphen/>
        <w:t>207.]</w:t>
      </w:r>
    </w:p>
    <w:p>
      <w:pPr>
        <w:pStyle w:val="Text"/>
        <w:spacing w:lineRule="auto" w:line="480" w:before="0" w:after="0"/>
        <w:ind w:firstLine="720" w:end="0"/>
        <w:rPr>
          <w:sz w:val="28"/>
          <w:szCs w:val="28"/>
        </w:rPr>
      </w:pPr>
      <w:r>
        <w:rPr>
          <w:sz w:val="28"/>
          <w:szCs w:val="28"/>
        </w:rPr>
        <w:t>The Commission has expressly rejected as unduly discriminatory the very claims made by TANC in this proceeding.  Any effort to achieve a priority for service over the Northwest Intertie that is inconsistent with the hierarchies established by the FERC would directly interfere with the accomplishment of the Commission’s goals in seeking to allocate resources efficiently to those customers who value them most.</w:t>
      </w:r>
    </w:p>
    <w:p>
      <w:pPr>
        <w:pStyle w:val="Text"/>
        <w:spacing w:lineRule="auto" w:line="480" w:before="0" w:after="0"/>
        <w:ind w:firstLine="720" w:end="0"/>
        <w:rPr/>
      </w:pPr>
      <w:r>
        <w:rPr>
          <w:sz w:val="28"/>
          <w:szCs w:val="28"/>
        </w:rPr>
        <w:t xml:space="preserve">The Staff of the FERC was a participant on behalf of the public interest in the proceeding at FERC in which TANC’s claims before the Commission further described the threat that the acceptance of TANC’s claims would have on the public interest.  In the administrative proceeding before the Administrative Law Judge, the FERC Staff agreed with Sierra Pacific and Bonneville’s positions arguing that "what is at stake in this proceeding is no less than continued vitality of Order 888, open access, and vigorous competition in the buying and selling of wholesale power."  [SER, Ex. 11]  Further, FERC Staff Witness Sammon testified before Administrative Law Judge Silverstein that Order 888 and the open access transmission tariffs filed pursuant to it, control access to the grid at issue in these proceedings.  </w:t>
      </w:r>
      <w:r>
        <w:rPr>
          <w:sz w:val="28"/>
          <w:szCs w:val="28"/>
          <w:u w:val="single"/>
        </w:rPr>
        <w:t>Id.</w:t>
      </w:r>
      <w:r>
        <w:rPr>
          <w:sz w:val="28"/>
          <w:szCs w:val="28"/>
        </w:rPr>
        <w:t xml:space="preserve">  As those open access tariffs have specific provisions for priority of customers, and Sierra Pacific qualifies as a customer, Mr. Sammon testified that the open access tariffs must control.  </w:t>
      </w:r>
      <w:r>
        <w:rPr>
          <w:sz w:val="28"/>
          <w:szCs w:val="28"/>
          <w:u w:val="single"/>
        </w:rPr>
        <w:t>Id.</w:t>
      </w:r>
      <w:r>
        <w:rPr>
          <w:sz w:val="28"/>
          <w:szCs w:val="28"/>
        </w:rPr>
        <w:t xml:space="preserve"> </w:t>
      </w:r>
    </w:p>
    <w:p>
      <w:pPr>
        <w:pStyle w:val="Text"/>
        <w:spacing w:lineRule="auto" w:line="480" w:before="0" w:after="0"/>
        <w:ind w:firstLine="720" w:end="0"/>
        <w:rPr/>
      </w:pPr>
      <w:r>
        <w:rPr>
          <w:sz w:val="28"/>
          <w:szCs w:val="28"/>
        </w:rPr>
        <w:t xml:space="preserve">TANC’s attempt to have a court apply state law to create a damages remedy for harm arising from its displacement of use of the Northwest AC Intertie in accordance with Order 888 directly interferes with this carefully articulated and balanced scheme to promote the efficient production and allocation of generation of power throughout the United States.  Any damages that are imposed on users of the Northwest AC Intertie for taking service in accordance with open access tariffs applicable to the Northwest AC Intertie, necessarily would impose upon them costs in excess of those that the FERC permits to be collected in the rates that have been filed for that service.  Cf. </w:t>
      </w:r>
      <w:r>
        <w:rPr>
          <w:sz w:val="28"/>
          <w:szCs w:val="28"/>
          <w:u w:val="single"/>
        </w:rPr>
        <w:t>Arkansas Louisiana Power</w:t>
      </w:r>
      <w:r>
        <w:rPr>
          <w:sz w:val="28"/>
          <w:szCs w:val="28"/>
        </w:rPr>
        <w:t>, 453 U.S. 571, 580-81 (1981).  Damages would also alter FERC rules for access.  Such damages would result in a prohibited redirection of power flows on an inefficient basis that misallocates resources.</w:t>
      </w:r>
    </w:p>
    <w:p>
      <w:pPr>
        <w:pStyle w:val="Text"/>
        <w:ind w:hanging="720" w:start="2160" w:end="720"/>
        <w:rPr>
          <w:b/>
          <w:bCs/>
          <w:sz w:val="28"/>
          <w:szCs w:val="28"/>
        </w:rPr>
      </w:pPr>
      <w:bookmarkStart w:id="14" w:name="WCTOCLevel3Mark10in1BGZ04"/>
      <w:r>
        <w:rPr>
          <w:b/>
          <w:bCs/>
          <w:sz w:val="28"/>
          <w:szCs w:val="28"/>
        </w:rPr>
        <w:t>2.</w:t>
        <w:tab/>
        <w:t>Damages in TANC’s State Law Action Would Violate FERC’s Filed Rate Doctrine</w:t>
      </w:r>
      <w:bookmarkEnd w:id="14"/>
    </w:p>
    <w:p>
      <w:pPr>
        <w:pStyle w:val="Text"/>
        <w:spacing w:lineRule="auto" w:line="480" w:before="0" w:after="0"/>
        <w:ind w:firstLine="720" w:end="0"/>
        <w:rPr>
          <w:sz w:val="28"/>
          <w:szCs w:val="28"/>
        </w:rPr>
      </w:pPr>
      <w:r>
        <w:rPr>
          <w:sz w:val="28"/>
          <w:szCs w:val="28"/>
        </w:rPr>
        <w:t>Any imposition of damages as proposed by TANC would rest (expressly or implicitly) on a state-law adjudication of rights to receive electric transmission services in interstate commerce.  As discussed above, that determination would impermissibly intrude on exclusive federal jurisdiction over those services and would contradict federal rules governing access to those services.</w:t>
      </w:r>
    </w:p>
    <w:p>
      <w:pPr>
        <w:pStyle w:val="Text"/>
        <w:spacing w:lineRule="auto" w:line="480" w:before="0" w:after="0"/>
        <w:ind w:firstLine="720" w:end="0"/>
        <w:rPr>
          <w:sz w:val="28"/>
          <w:szCs w:val="28"/>
        </w:rPr>
      </w:pPr>
      <w:r>
        <w:rPr>
          <w:sz w:val="28"/>
          <w:szCs w:val="28"/>
        </w:rPr>
        <w:t>Moreover, damages have the same impermissible effect as attempts to regulate directly matters left to federal jurisdiction:</w:t>
      </w:r>
    </w:p>
    <w:p>
      <w:pPr>
        <w:pStyle w:val="Text"/>
        <w:spacing w:before="0" w:after="240"/>
        <w:ind w:hanging="0" w:start="720" w:end="720"/>
        <w:rPr>
          <w:sz w:val="28"/>
          <w:szCs w:val="28"/>
        </w:rPr>
      </w:pPr>
      <w:r>
        <w:rPr>
          <w:sz w:val="28"/>
          <w:szCs w:val="28"/>
        </w:rPr>
        <w:t>To permit recovery under state law would allow a state court (or a federal court applying state law) to undermine the authority of a federal agency.</w:t>
      </w:r>
    </w:p>
    <w:p>
      <w:pPr>
        <w:pStyle w:val="Text"/>
        <w:spacing w:lineRule="auto" w:line="480" w:before="0" w:after="0"/>
        <w:ind w:hanging="0" w:end="0"/>
        <w:rPr/>
      </w:pPr>
      <w:r>
        <w:rPr>
          <w:sz w:val="28"/>
          <w:szCs w:val="28"/>
          <w:u w:val="single"/>
        </w:rPr>
        <w:t>County of Stanislaus</w:t>
      </w:r>
      <w:r>
        <w:rPr>
          <w:sz w:val="28"/>
          <w:szCs w:val="28"/>
        </w:rPr>
        <w:t xml:space="preserve">, 114 F.2d at 862.  </w:t>
      </w:r>
      <w:r>
        <w:rPr>
          <w:sz w:val="28"/>
          <w:szCs w:val="28"/>
          <w:u w:val="single"/>
        </w:rPr>
        <w:t>See also</w:t>
      </w:r>
      <w:r>
        <w:rPr>
          <w:sz w:val="28"/>
          <w:szCs w:val="28"/>
        </w:rPr>
        <w:t xml:space="preserve"> </w:t>
      </w:r>
      <w:r>
        <w:rPr>
          <w:sz w:val="28"/>
          <w:szCs w:val="28"/>
          <w:u w:val="single"/>
        </w:rPr>
        <w:t>San Diego Building Trades Council v. Garmon</w:t>
      </w:r>
      <w:r>
        <w:rPr>
          <w:sz w:val="28"/>
          <w:szCs w:val="28"/>
        </w:rPr>
        <w:t xml:space="preserve">, 359 U.S. 236, 247 (1959) (damages are a potent method of governing conduct and controlling policy); </w:t>
      </w:r>
      <w:r>
        <w:rPr>
          <w:sz w:val="28"/>
          <w:szCs w:val="28"/>
          <w:u w:val="single"/>
        </w:rPr>
        <w:t>see also</w:t>
      </w:r>
      <w:r>
        <w:rPr>
          <w:sz w:val="28"/>
          <w:szCs w:val="28"/>
        </w:rPr>
        <w:t xml:space="preserve"> </w:t>
      </w:r>
      <w:r>
        <w:rPr>
          <w:sz w:val="28"/>
          <w:szCs w:val="28"/>
          <w:u w:val="single"/>
        </w:rPr>
        <w:t>Arkansas Louisiana Gas Co. v. Hall</w:t>
      </w:r>
      <w:r>
        <w:rPr>
          <w:sz w:val="28"/>
          <w:szCs w:val="28"/>
        </w:rPr>
        <w:t xml:space="preserve">, 453, 584 U.S. 571 (1981) (citing </w:t>
      </w:r>
      <w:r>
        <w:rPr>
          <w:sz w:val="28"/>
          <w:szCs w:val="28"/>
          <w:u w:val="single"/>
        </w:rPr>
        <w:t>Garmon</w:t>
      </w:r>
      <w:r>
        <w:rPr>
          <w:sz w:val="28"/>
          <w:szCs w:val="28"/>
        </w:rPr>
        <w:t>).  TANC’s claims for damages are therefore preempted in light of the resulting state-imposed burden on the federal scheme governing transmission access.</w:t>
      </w:r>
    </w:p>
    <w:p>
      <w:pPr>
        <w:pStyle w:val="Text"/>
        <w:spacing w:before="0" w:after="240"/>
        <w:ind w:hanging="720" w:start="2160" w:end="1440"/>
        <w:rPr>
          <w:sz w:val="28"/>
          <w:szCs w:val="28"/>
        </w:rPr>
      </w:pPr>
      <w:bookmarkStart w:id="15" w:name="WCTOCLevel4Mark11in1BGZ04"/>
      <w:r>
        <w:rPr>
          <w:b/>
          <w:bCs/>
          <w:sz w:val="28"/>
          <w:szCs w:val="28"/>
        </w:rPr>
        <w:t>a.</w:t>
        <w:tab/>
        <w:t>The Proposed State Law Action Would Impermissibly Reallocate Costs For Electric Services In Interstate Commerce</w:t>
      </w:r>
      <w:bookmarkEnd w:id="15"/>
      <w:r>
        <w:rPr>
          <w:b/>
          <w:bCs/>
          <w:sz w:val="28"/>
          <w:szCs w:val="28"/>
        </w:rPr>
        <w:t>.</w:t>
      </w:r>
    </w:p>
    <w:p>
      <w:pPr>
        <w:pStyle w:val="Text"/>
        <w:spacing w:lineRule="auto" w:line="480" w:before="0" w:after="0"/>
        <w:ind w:firstLine="720" w:end="0"/>
        <w:rPr>
          <w:sz w:val="28"/>
          <w:szCs w:val="28"/>
        </w:rPr>
      </w:pPr>
      <w:r>
        <w:rPr>
          <w:sz w:val="28"/>
          <w:szCs w:val="28"/>
        </w:rPr>
        <w:t xml:space="preserve">It is well established that federal rate regulation preempts state action that would directly </w:t>
      </w:r>
      <w:r>
        <w:rPr>
          <w:i/>
          <w:iCs/>
          <w:sz w:val="28"/>
          <w:szCs w:val="28"/>
        </w:rPr>
        <w:t>or indirectly</w:t>
      </w:r>
      <w:r>
        <w:rPr>
          <w:sz w:val="28"/>
          <w:szCs w:val="28"/>
        </w:rPr>
        <w:t xml:space="preserve"> interfere with federally-approved rates.  </w:t>
      </w:r>
      <w:r>
        <w:rPr>
          <w:sz w:val="28"/>
          <w:szCs w:val="28"/>
          <w:u w:val="single"/>
        </w:rPr>
        <w:t>See</w:t>
      </w:r>
      <w:r>
        <w:rPr>
          <w:sz w:val="28"/>
          <w:szCs w:val="28"/>
        </w:rPr>
        <w:t xml:space="preserve"> </w:t>
      </w:r>
      <w:r>
        <w:rPr>
          <w:sz w:val="28"/>
          <w:szCs w:val="28"/>
          <w:u w:val="single"/>
        </w:rPr>
        <w:t>Nantahala</w:t>
      </w:r>
      <w:r>
        <w:rPr>
          <w:sz w:val="28"/>
          <w:szCs w:val="28"/>
        </w:rPr>
        <w:t xml:space="preserve">, 476 U.S. at 966.  Here, TANC’s proposed state law action – </w:t>
      </w:r>
      <w:r>
        <w:rPr>
          <w:i/>
          <w:iCs/>
          <w:sz w:val="28"/>
          <w:szCs w:val="28"/>
        </w:rPr>
        <w:t>i.e.,</w:t>
      </w:r>
      <w:r>
        <w:rPr>
          <w:sz w:val="28"/>
          <w:szCs w:val="28"/>
        </w:rPr>
        <w:t xml:space="preserve"> “damages” to be imposed on neighboring transmitting utilities – would result in an unlawful reallocation of costs assigned under federally-approved rates.</w:t>
      </w:r>
      <w:r>
        <w:rPr>
          <w:rStyle w:val="FootnoteCharacters"/>
          <w:rStyle w:val="FootnoteReference"/>
        </w:rPr>
        <w:footnoteReference w:id="14"/>
      </w:r>
    </w:p>
    <w:p>
      <w:pPr>
        <w:pStyle w:val="Text"/>
        <w:spacing w:lineRule="auto" w:line="480" w:before="0" w:after="0"/>
        <w:ind w:firstLine="720" w:end="0"/>
        <w:rPr/>
      </w:pPr>
      <w:r>
        <w:rPr>
          <w:sz w:val="28"/>
          <w:szCs w:val="28"/>
        </w:rPr>
        <w:t xml:space="preserve">TANC </w:t>
      </w:r>
      <w:r>
        <w:rPr>
          <w:i/>
          <w:iCs/>
          <w:sz w:val="28"/>
          <w:szCs w:val="28"/>
        </w:rPr>
        <w:t>can</w:t>
      </w:r>
      <w:r>
        <w:rPr>
          <w:sz w:val="28"/>
          <w:szCs w:val="28"/>
        </w:rPr>
        <w:t xml:space="preserve"> use the Northwest AC Intertie after interconnection and operation of the Alturas Intertie but might incur higher costs of service than when TANC had </w:t>
      </w:r>
      <w:r>
        <w:rPr>
          <w:i/>
          <w:iCs/>
          <w:sz w:val="28"/>
          <w:szCs w:val="28"/>
        </w:rPr>
        <w:t>de facto</w:t>
      </w:r>
      <w:r>
        <w:rPr>
          <w:sz w:val="28"/>
          <w:szCs w:val="28"/>
        </w:rPr>
        <w:t xml:space="preserve"> exclusive access.  TANC would incur those potentially higher costs if TANC (1) chose to reserve service (as opposed to taking service on an opportunistic basis), or (2) incurred higher prices on the spot market.</w:t>
      </w:r>
    </w:p>
    <w:p>
      <w:pPr>
        <w:pStyle w:val="Text"/>
        <w:spacing w:lineRule="auto" w:line="480" w:before="0" w:after="0"/>
        <w:ind w:firstLine="720" w:end="0"/>
        <w:rPr/>
      </w:pPr>
      <w:r>
        <w:rPr>
          <w:sz w:val="28"/>
          <w:szCs w:val="28"/>
        </w:rPr>
        <w:t xml:space="preserve">In either case, the higher costs would arise by operation of federally-approved tariffs (either transmission service tariffs or wholesale power sales tariffs).  With particular reference to the transmission service tariffs applicable to the Northwest AC Intertie, and as a matter of undisputed fact, those tariffs allocate greater cost responsibility to customers that wish to reserve service.  [CITE]  To require appellees essentially to reimburse TANC for those costs (in the form of state-imposed damages) would insulate TANC from the costs of reserving service and would violate the transmitting utilities’ right to sell service at the full tariff rate.  [CITE ALJ]  By thus interfering with operation of federally-approved tariffs, the proposed state law action cannot stand, again, notwithstanding the fact that TANC does not </w:t>
      </w:r>
      <w:r>
        <w:rPr>
          <w:i/>
          <w:iCs/>
          <w:sz w:val="28"/>
          <w:szCs w:val="28"/>
        </w:rPr>
        <w:t>purport</w:t>
      </w:r>
      <w:r>
        <w:rPr>
          <w:sz w:val="28"/>
          <w:szCs w:val="28"/>
        </w:rPr>
        <w:t xml:space="preserve"> to challenge any federal determination.</w:t>
      </w:r>
    </w:p>
    <w:p>
      <w:pPr>
        <w:pStyle w:val="Text"/>
        <w:spacing w:before="0" w:after="240"/>
        <w:ind w:hanging="720" w:start="2160" w:end="1440"/>
        <w:rPr>
          <w:sz w:val="28"/>
          <w:szCs w:val="28"/>
        </w:rPr>
      </w:pPr>
      <w:bookmarkStart w:id="16" w:name="WCTOCLevel4Mark12in1BGZ04"/>
      <w:r>
        <w:rPr>
          <w:b/>
          <w:bCs/>
          <w:sz w:val="28"/>
          <w:szCs w:val="28"/>
        </w:rPr>
        <w:t>b.</w:t>
        <w:tab/>
        <w:t>TANC’s Purported Loss Of Investment Presents A Federal Issue</w:t>
      </w:r>
      <w:bookmarkEnd w:id="16"/>
    </w:p>
    <w:p>
      <w:pPr>
        <w:pStyle w:val="Text"/>
        <w:spacing w:lineRule="auto" w:line="480" w:before="0" w:after="0"/>
        <w:ind w:firstLine="720" w:end="0"/>
        <w:rPr/>
      </w:pPr>
      <w:r>
        <w:rPr>
          <w:sz w:val="28"/>
          <w:szCs w:val="28"/>
        </w:rPr>
        <w:t xml:space="preserve">With particular reference to the value of TANC’s investments, [AOB 39], TANC has, again, misdirected its grievance at Sierra Pacific under state law.  The question is whether operation of federally-approved tariffs and federal open access rules impairs TANC’s investment interests, a question solely for FERC under federal law.  Normally, TANC’s recourse in the event that FERC rejected TANC’s claims about its investment expectations would be to seek compensation from the federal government for a regulatory taking.  </w:t>
      </w:r>
      <w:r>
        <w:rPr>
          <w:sz w:val="28"/>
          <w:szCs w:val="28"/>
          <w:u w:val="single"/>
        </w:rPr>
        <w:t>See</w:t>
      </w:r>
      <w:r>
        <w:rPr>
          <w:sz w:val="28"/>
          <w:szCs w:val="28"/>
        </w:rPr>
        <w:t xml:space="preserve"> </w:t>
      </w:r>
      <w:r>
        <w:rPr>
          <w:sz w:val="28"/>
          <w:szCs w:val="28"/>
          <w:u w:val="single"/>
        </w:rPr>
        <w:t>Transmission Access</w:t>
      </w:r>
      <w:r>
        <w:rPr>
          <w:sz w:val="28"/>
          <w:szCs w:val="28"/>
        </w:rPr>
        <w:t xml:space="preserve"> at ___.  However, TANC missed the appropriate opportunity for challenging FERC’s open access rules on that basis.  [CITE]  TANC’s delay does not justify state law actions against appellees for complying with the federal rules.</w:t>
      </w:r>
    </w:p>
    <w:p>
      <w:pPr>
        <w:pStyle w:val="Text"/>
        <w:spacing w:lineRule="auto" w:line="480" w:before="0" w:after="0"/>
        <w:ind w:firstLine="720" w:end="0"/>
        <w:rPr>
          <w:sz w:val="28"/>
          <w:szCs w:val="28"/>
        </w:rPr>
      </w:pPr>
      <w:r>
        <w:rPr>
          <w:sz w:val="28"/>
          <w:szCs w:val="28"/>
        </w:rPr>
        <w:t>In summary, TANC overlooks the facts that its proposed state law action would (1) distort cost allocations under federally-approved tariffs, (2) interfere with FERC’s upcoming determination on whether Nevada’s use of the Northwest AC Intertie impairs TANC’s interests, and (3) interfere with the operation of federally-approved transmission tariffs governing the Northwest AC Intertie.  In short, while focusing on how it frames its claims, TANC ignores the substantive impact of its proposed action.</w:t>
      </w:r>
    </w:p>
    <w:p>
      <w:pPr>
        <w:pStyle w:val="Text"/>
        <w:spacing w:before="0" w:after="240"/>
        <w:ind w:hanging="720" w:start="2160" w:end="720"/>
        <w:rPr>
          <w:b/>
          <w:bCs/>
          <w:sz w:val="28"/>
          <w:szCs w:val="28"/>
        </w:rPr>
      </w:pPr>
      <w:bookmarkStart w:id="17" w:name="WCTOCLevel3Mark13in1BGZ04"/>
      <w:r>
        <w:rPr>
          <w:b/>
          <w:bCs/>
          <w:sz w:val="28"/>
          <w:szCs w:val="28"/>
        </w:rPr>
        <w:t>3.</w:t>
        <w:tab/>
        <w:t>TANC’s Remedy Is Through FERC</w:t>
      </w:r>
      <w:bookmarkEnd w:id="17"/>
    </w:p>
    <w:p>
      <w:pPr>
        <w:pStyle w:val="Text"/>
        <w:spacing w:lineRule="auto" w:line="480" w:before="0" w:after="0"/>
        <w:ind w:firstLine="720" w:end="0"/>
        <w:rPr>
          <w:sz w:val="28"/>
          <w:szCs w:val="28"/>
        </w:rPr>
      </w:pPr>
      <w:r>
        <w:rPr>
          <w:sz w:val="28"/>
          <w:szCs w:val="28"/>
        </w:rPr>
        <w:t>[This section not yet drafted]</w:t>
      </w:r>
    </w:p>
    <w:p>
      <w:pPr>
        <w:pStyle w:val="Text"/>
        <w:spacing w:before="0" w:after="240"/>
        <w:ind w:hanging="720" w:start="1440" w:end="720"/>
        <w:rPr/>
      </w:pPr>
      <w:r>
        <w:fldChar w:fldCharType="begin"/>
      </w:r>
      <w:r>
        <w:rPr>
          <w:sz w:val="28"/>
          <w:b/>
          <w:szCs w:val="28"/>
          <w:bCs/>
          <w:lang w:val="en-CA"/>
        </w:rPr>
        <w:instrText xml:space="preserve"> QUOTE "</w:instrText>
      </w:r>
      <w:bookmarkStart w:id="18" w:name="WCTOCLevel2Mark14in1BGZ04"/>
      <w:r>
        <w:rPr>
          <w:b/>
          <w:bCs/>
          <w:sz w:val="28"/>
          <w:szCs w:val="28"/>
          <w:lang w:val="en-CA"/>
        </w:rPr>
      </w:r>
      <w:r>
        <w:rPr>
          <w:sz w:val="28"/>
          <w:b/>
          <w:szCs w:val="28"/>
          <w:bCs/>
          <w:lang w:val="en-CA"/>
        </w:rPr>
        <w:fldChar w:fldCharType="separate"/>
      </w:r>
      <w:r>
        <w:rPr>
          <w:b/>
          <w:bCs/>
          <w:sz w:val="28"/>
          <w:szCs w:val="28"/>
          <w:lang w:val="en-CA"/>
        </w:rPr>
        <w:t>D.</w:t>
      </w:r>
      <w:r>
        <w:rPr>
          <w:b/>
          <w:bCs/>
          <w:sz w:val="28"/>
          <w:szCs w:val="28"/>
          <w:lang w:val="en-CA"/>
        </w:rPr>
      </w:r>
      <w:r>
        <w:rPr>
          <w:sz w:val="28"/>
          <w:b/>
          <w:szCs w:val="28"/>
          <w:bCs/>
          <w:lang w:val="en-CA"/>
        </w:rPr>
        <w:fldChar w:fldCharType="end"/>
      </w:r>
      <w:r>
        <w:rPr>
          <w:b/>
          <w:bCs/>
          <w:sz w:val="28"/>
          <w:szCs w:val="28"/>
        </w:rPr>
        <w:tab/>
        <w:t>TANC RECOGNIZED FEDERAL PREEMPTION WHEN IT FILED THE EXISTING FERC PROCEEDING</w:t>
      </w:r>
      <w:bookmarkEnd w:id="18"/>
    </w:p>
    <w:p>
      <w:pPr>
        <w:pStyle w:val="Text"/>
        <w:spacing w:lineRule="auto" w:line="480" w:before="0" w:after="0"/>
        <w:ind w:firstLine="720" w:end="0"/>
        <w:rPr/>
      </w:pPr>
      <w:r>
        <w:rPr>
          <w:sz w:val="28"/>
          <w:szCs w:val="28"/>
        </w:rPr>
        <w:t>FERC is presently reviewing interconnection and operating agreements between Sierra Pacific and the Northwest Parties.  In the proceedings before FERC, TANC has alleged that those agreements - - by failing to give California customers priority access to the Northwest AC Intertie - - violate FERC’s standards for interconnected operation.  Specifically, TANC argues:  (1) that interconnection and operation of appellees’ facilities impairs TANC’s rights to use regional facilities, (2) that interconnection and operation of appellees’ facilities has the same effect as undue power flows.</w:t>
      </w:r>
      <w:r>
        <w:rPr>
          <w:rStyle w:val="FootnoteCharacters"/>
          <w:rStyle w:val="FootnoteReference"/>
        </w:rPr>
        <w:footnoteReference w:id="15"/>
      </w:r>
      <w:r>
        <w:rPr>
          <w:sz w:val="28"/>
          <w:szCs w:val="28"/>
        </w:rPr>
        <w:t xml:space="preserve">  [CITE TANC PLEADING]  The case is currently pending review by the full commission.  [CITE]</w:t>
      </w:r>
    </w:p>
    <w:p>
      <w:pPr>
        <w:pStyle w:val="Text"/>
        <w:spacing w:lineRule="auto" w:line="480" w:before="0" w:after="0"/>
        <w:ind w:firstLine="720" w:end="0"/>
        <w:rPr/>
      </w:pPr>
      <w:r>
        <w:rPr>
          <w:sz w:val="28"/>
          <w:szCs w:val="28"/>
        </w:rPr>
        <w:t xml:space="preserve">TANC’s proposed state law action would interfere with FERC’s upcoming determinations in the ongoing FERC proceeding.  If FERC determines that interconnection of the appellees’ facilities does </w:t>
      </w:r>
      <w:r>
        <w:rPr>
          <w:i/>
          <w:iCs/>
          <w:sz w:val="28"/>
          <w:szCs w:val="28"/>
        </w:rPr>
        <w:t>not</w:t>
      </w:r>
      <w:r>
        <w:rPr>
          <w:sz w:val="28"/>
          <w:szCs w:val="28"/>
        </w:rPr>
        <w:t xml:space="preserve"> impair TANC’s rights to use the interconnected grid, a court applying state law may not determine that interconnection of those facilities </w:t>
      </w:r>
      <w:r>
        <w:rPr>
          <w:i/>
          <w:iCs/>
          <w:sz w:val="28"/>
          <w:szCs w:val="28"/>
        </w:rPr>
        <w:t>does</w:t>
      </w:r>
      <w:r>
        <w:rPr>
          <w:sz w:val="28"/>
          <w:szCs w:val="28"/>
        </w:rPr>
        <w:t xml:space="preserve"> impair TANC’s rights (the determination that would underlie TANC’s proposed imposition of damages).  As stated by the District Court:</w:t>
      </w:r>
    </w:p>
    <w:p>
      <w:pPr>
        <w:pStyle w:val="Text"/>
        <w:spacing w:before="0" w:after="240"/>
        <w:ind w:hanging="0" w:start="720" w:end="720"/>
        <w:rPr>
          <w:sz w:val="28"/>
          <w:szCs w:val="28"/>
        </w:rPr>
      </w:pPr>
      <w:r>
        <w:rPr>
          <w:sz w:val="28"/>
          <w:szCs w:val="28"/>
        </w:rPr>
        <w:t>Because FERC is in the process of adjudicating the same basic issues raised by TANC in this action, the application of state law here would interfere with an ongoing regulatory process.  The determination of plaintiffs’ claims concerning the alleged reduced capacity in [TANC’s facilities] could impose an “obstacle to the accomplishment and execution” of the interconnection and scheduling agreements currently under review by FERC.</w:t>
      </w:r>
    </w:p>
    <w:p>
      <w:pPr>
        <w:pStyle w:val="Text"/>
        <w:spacing w:lineRule="auto" w:line="480" w:before="0" w:after="0"/>
        <w:ind w:hanging="0" w:end="0"/>
        <w:rPr>
          <w:sz w:val="28"/>
          <w:szCs w:val="28"/>
        </w:rPr>
      </w:pPr>
      <w:r>
        <w:rPr>
          <w:sz w:val="28"/>
          <w:szCs w:val="28"/>
        </w:rPr>
        <w:t>Order at 21.</w:t>
      </w:r>
    </w:p>
    <w:p>
      <w:pPr>
        <w:pStyle w:val="Text"/>
        <w:spacing w:lineRule="auto" w:line="480" w:before="0" w:after="0"/>
        <w:ind w:firstLine="720" w:end="0"/>
        <w:rPr>
          <w:sz w:val="28"/>
          <w:szCs w:val="28"/>
        </w:rPr>
      </w:pPr>
      <w:r>
        <w:rPr>
          <w:sz w:val="28"/>
          <w:szCs w:val="28"/>
        </w:rPr>
        <w:t>Similarly, a court applying state law cannot determine that Nevada’s use of the Northwest AC Intertie amounts to trespass on TANC’s facilities and therefore results in damages.</w:t>
      </w:r>
    </w:p>
    <w:p>
      <w:pPr>
        <w:pStyle w:val="Text"/>
        <w:spacing w:lineRule="auto" w:line="480" w:before="0" w:after="0"/>
        <w:ind w:firstLine="720" w:end="0"/>
        <w:rPr/>
      </w:pPr>
      <w:r>
        <w:rPr>
          <w:sz w:val="28"/>
          <w:szCs w:val="28"/>
        </w:rPr>
        <w:t xml:space="preserve">TANC misses the mark in suggesting that its </w:t>
      </w:r>
      <w:r>
        <w:rPr>
          <w:i/>
          <w:iCs/>
          <w:sz w:val="28"/>
          <w:szCs w:val="28"/>
        </w:rPr>
        <w:t>causes of action</w:t>
      </w:r>
      <w:r>
        <w:rPr>
          <w:sz w:val="28"/>
          <w:szCs w:val="28"/>
        </w:rPr>
        <w:t xml:space="preserve"> are not before FERC and are therefore not preempted.  [AOB ___]  As recognized by the Eastern District, the question is whether the federal scheme addresses the core </w:t>
      </w:r>
      <w:r>
        <w:rPr>
          <w:i/>
          <w:iCs/>
          <w:sz w:val="28"/>
          <w:szCs w:val="28"/>
        </w:rPr>
        <w:t>issue</w:t>
      </w:r>
      <w:r>
        <w:rPr>
          <w:sz w:val="28"/>
          <w:szCs w:val="28"/>
        </w:rPr>
        <w:t xml:space="preserve"> that has been submitted for adjudication under state law, not whether the federal scheme includes the same cause of action.  Order at ___.  Similarly, TANC misses the mark in suggesting that the FERC proceeding is irrelevant because FERC has no authority to impose damages.  [AOB ___]  The federal scheme need not provide the particular remedy sought under state law.  [CITE]</w:t>
      </w:r>
    </w:p>
    <w:sectPr>
      <w:headerReference w:type="default" r:id="rId12"/>
      <w:headerReference w:type="first" r:id="rId13"/>
      <w:footerReference w:type="default" r:id="rId14"/>
      <w:footerReference w:type="first" r:id="rId15"/>
      <w:footnotePr>
        <w:numFmt w:val="decimal"/>
      </w:footnotePr>
      <w:type w:val="nextPage"/>
      <w:pgSz w:w="12240" w:h="15840"/>
      <w:pgMar w:left="1440" w:right="1440" w:gutter="0" w:header="706" w:top="1440" w:footer="85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 w:name="Courier New">
    <w:charset w:val="01"/>
    <w:family w:val="modern"/>
    <w:pitch w:val="default"/>
  </w:font>
  <w:font w:name="CG Times">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t>-</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3018155" cy="548640"/>
              <wp:effectExtent l="0" t="0" r="0" b="0"/>
              <wp:wrapSquare wrapText="bothSides"/>
              <wp:docPr id="1" name="Frame2"/>
              <a:graphic xmlns:a="http://schemas.openxmlformats.org/drawingml/2006/main">
                <a:graphicData uri="http://schemas.microsoft.com/office/word/2010/wordprocessingShape">
                  <wps:wsp>
                    <wps:cNvSpPr txBox="1"/>
                    <wps:spPr>
                      <a:xfrm>
                        <a:off x="0" y="0"/>
                        <a:ext cx="3018155" cy="548640"/>
                      </a:xfrm>
                      <a:prstGeom prst="rect"/>
                      <a:solidFill>
                        <a:srgbClr val="FFFFFF">
                          <a:alpha val="0"/>
                        </a:srgbClr>
                      </a:solidFill>
                    </wps:spPr>
                    <wps:txbx>
                      <w:txbxContent>
                        <w:p>
                          <w:pPr>
                            <w:pStyle w:val="DateSTWC"/>
                            <w:rPr/>
                          </w:pPr>
                          <w:r>
                            <w:rPr/>
                            <w:fldChar w:fldCharType="begin"/>
                          </w:r>
                          <w:r>
                            <w:rPr/>
                            <w:instrText xml:space="preserve"> IF  "" ""</w:instrText>
                          </w:r>
                          <w:r>
                            <w:rPr/>
                            <w:fldChar w:fldCharType="separate"/>
                          </w:r>
                          <w:r>
                            <w:rPr/>
                          </w:r>
                          <w:r>
                            <w:rPr/>
                            <w:fldChar w:fldCharType="end"/>
                          </w:r>
                        </w:p>
                        <w:p>
                          <w:pPr>
                            <w:pStyle w:val="IDSTWC"/>
                            <w:rPr/>
                          </w:pPr>
                          <w:r>
                            <w:rPr/>
                            <w:fldChar w:fldCharType="begin"/>
                          </w:r>
                          <w:r>
                            <w:rPr/>
                            <w:instrText xml:space="preserve"> KEYWORDS </w:instrText>
                          </w:r>
                          <w:r>
                            <w:rPr/>
                            <w:fldChar w:fldCharType="separate"/>
                          </w:r>
                          <w:r>
                            <w:rPr/>
                            <w:t>losangeles 61523 v4</w:t>
                          </w:r>
                          <w:r>
                            <w:rPr/>
                            <w:fldChar w:fldCharType="end"/>
                          </w:r>
                          <w:r>
                            <w:rPr/>
                            <w:t xml:space="preserve">  </w:t>
                          </w:r>
                          <w:r>
                            <w:rPr/>
                            <w:fldChar w:fldCharType="begin"/>
                          </w:r>
                          <w:r>
                            <w:rPr/>
                            <w:instrText xml:space="preserve"> IF  "" ""</w:instrText>
                          </w:r>
                          <w:r>
                            <w:rPr/>
                            <w:fldChar w:fldCharType="separate"/>
                          </w:r>
                          <w:r>
                            <w:rPr/>
                          </w:r>
                          <w:r>
                            <w:rPr/>
                            <w:fldChar w:fldCharType="end"/>
                          </w:r>
                          <w:r>
                            <w:rPr/>
                            <w:fldChar w:fldCharType="begin"/>
                          </w:r>
                          <w:r>
                            <w:rPr/>
                            <w:instrText xml:space="preserve"> IF  "" ""</w:instrText>
                          </w:r>
                          <w:r>
                            <w:rPr/>
                            <w:fldChar w:fldCharType="separate"/>
                          </w:r>
                          <w:r>
                            <w:rPr/>
                          </w:r>
                          <w:r>
                            <w:rPr/>
                            <w:fldChar w:fldCharType="end"/>
                          </w:r>
                          <w:r>
                            <w:rPr/>
                            <w:t xml:space="preserve"> </w:t>
                          </w:r>
                        </w:p>
                        <w:p>
                          <w:pPr>
                            <w:pStyle w:val="LongDocNameWC"/>
                            <w:rPr/>
                          </w:pPr>
                          <w:r>
                            <w:rPr/>
                            <w:fldChar w:fldCharType="begin"/>
                          </w:r>
                          <w:r>
                            <w:rPr/>
                            <w:instrText xml:space="preserve"> DOCPROPERTY "DOCSDescription"</w:instrText>
                          </w:r>
                          <w:r>
                            <w:rPr/>
                            <w:fldChar w:fldCharType="separate"/>
                          </w:r>
                          <w:r>
                            <w:rPr/>
                            <w:t xml:space="preserve"> </w:t>
                          </w:r>
                          <w:r>
                            <w:rPr/>
                            <w:fldChar w:fldCharType="end"/>
                          </w:r>
                          <w:r>
                            <w:rPr/>
                            <w:t xml:space="preserve"> </w:t>
                          </w:r>
                          <w:r>
                            <w:rPr/>
                            <w:fldChar w:fldCharType="begin"/>
                          </w:r>
                          <w:r>
                            <w:rPr/>
                            <w:instrText xml:space="preserve"> DOCPROPERTY "Client Matter Number"</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yle="position:absolute;rotation:-0;width:237.65pt;height:43.2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DateSTWC"/>
                      <w:rPr/>
                    </w:pPr>
                    <w:r>
                      <w:rPr/>
                      <w:fldChar w:fldCharType="begin"/>
                    </w:r>
                    <w:r>
                      <w:rPr/>
                      <w:instrText xml:space="preserve"> IF  "" ""</w:instrText>
                    </w:r>
                    <w:r>
                      <w:rPr/>
                      <w:fldChar w:fldCharType="separate"/>
                    </w:r>
                    <w:r>
                      <w:rPr/>
                    </w:r>
                    <w:r>
                      <w:rPr/>
                      <w:fldChar w:fldCharType="end"/>
                    </w:r>
                  </w:p>
                  <w:p>
                    <w:pPr>
                      <w:pStyle w:val="IDSTWC"/>
                      <w:rPr/>
                    </w:pPr>
                    <w:r>
                      <w:rPr/>
                      <w:fldChar w:fldCharType="begin"/>
                    </w:r>
                    <w:r>
                      <w:rPr/>
                      <w:instrText xml:space="preserve"> KEYWORDS </w:instrText>
                    </w:r>
                    <w:r>
                      <w:rPr/>
                      <w:fldChar w:fldCharType="separate"/>
                    </w:r>
                    <w:r>
                      <w:rPr/>
                      <w:t>losangeles 61523 v4</w:t>
                    </w:r>
                    <w:r>
                      <w:rPr/>
                      <w:fldChar w:fldCharType="end"/>
                    </w:r>
                    <w:r>
                      <w:rPr/>
                      <w:t xml:space="preserve">  </w:t>
                    </w:r>
                    <w:r>
                      <w:rPr/>
                      <w:fldChar w:fldCharType="begin"/>
                    </w:r>
                    <w:r>
                      <w:rPr/>
                      <w:instrText xml:space="preserve"> IF  "" ""</w:instrText>
                    </w:r>
                    <w:r>
                      <w:rPr/>
                      <w:fldChar w:fldCharType="separate"/>
                    </w:r>
                    <w:r>
                      <w:rPr/>
                    </w:r>
                    <w:r>
                      <w:rPr/>
                      <w:fldChar w:fldCharType="end"/>
                    </w:r>
                    <w:r>
                      <w:rPr/>
                      <w:fldChar w:fldCharType="begin"/>
                    </w:r>
                    <w:r>
                      <w:rPr/>
                      <w:instrText xml:space="preserve"> IF  "" ""</w:instrText>
                    </w:r>
                    <w:r>
                      <w:rPr/>
                      <w:fldChar w:fldCharType="separate"/>
                    </w:r>
                    <w:r>
                      <w:rPr/>
                    </w:r>
                    <w:r>
                      <w:rPr/>
                      <w:fldChar w:fldCharType="end"/>
                    </w:r>
                    <w:r>
                      <w:rPr/>
                      <w:t xml:space="preserve"> </w:t>
                    </w:r>
                  </w:p>
                  <w:p>
                    <w:pPr>
                      <w:pStyle w:val="LongDocNameWC"/>
                      <w:rPr/>
                    </w:pPr>
                    <w:r>
                      <w:rPr/>
                      <w:fldChar w:fldCharType="begin"/>
                    </w:r>
                    <w:r>
                      <w:rPr/>
                      <w:instrText xml:space="preserve"> DOCPROPERTY "DOCSDescription"</w:instrText>
                    </w:r>
                    <w:r>
                      <w:rPr/>
                      <w:fldChar w:fldCharType="separate"/>
                    </w:r>
                    <w:r>
                      <w:rPr/>
                      <w:t xml:space="preserve"> </w:t>
                    </w:r>
                    <w:r>
                      <w:rPr/>
                      <w:fldChar w:fldCharType="end"/>
                    </w:r>
                    <w:r>
                      <w:rPr/>
                      <w:t xml:space="preserve"> </w:t>
                    </w:r>
                    <w:r>
                      <w:rPr/>
                      <w:fldChar w:fldCharType="begin"/>
                    </w:r>
                    <w:r>
                      <w:rPr/>
                      <w:instrText xml:space="preserve"> DOCPROPERTY "Client Matter Number"</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3018155" cy="548640"/>
              <wp:effectExtent l="0" t="0" r="0" b="0"/>
              <wp:wrapSquare wrapText="bothSides"/>
              <wp:docPr id="2" name="Frame1"/>
              <a:graphic xmlns:a="http://schemas.openxmlformats.org/drawingml/2006/main">
                <a:graphicData uri="http://schemas.microsoft.com/office/word/2010/wordprocessingShape">
                  <wps:wsp>
                    <wps:cNvSpPr txBox="1"/>
                    <wps:spPr>
                      <a:xfrm>
                        <a:off x="0" y="0"/>
                        <a:ext cx="3018155" cy="548640"/>
                      </a:xfrm>
                      <a:prstGeom prst="rect"/>
                      <a:solidFill>
                        <a:srgbClr val="FFFFFF">
                          <a:alpha val="0"/>
                        </a:srgbClr>
                      </a:solidFill>
                    </wps:spPr>
                    <wps:txbx>
                      <w:txbxContent>
                        <w:p>
                          <w:pPr>
                            <w:pStyle w:val="DateSTWC"/>
                            <w:rPr/>
                          </w:pPr>
                          <w:r>
                            <w:rPr/>
                            <w:fldChar w:fldCharType="begin"/>
                          </w:r>
                          <w:r>
                            <w:rPr/>
                            <w:instrText xml:space="preserve"> IF  "" ""</w:instrText>
                          </w:r>
                          <w:r>
                            <w:rPr/>
                            <w:fldChar w:fldCharType="separate"/>
                          </w:r>
                          <w:r>
                            <w:rPr/>
                          </w:r>
                          <w:r>
                            <w:rPr/>
                            <w:fldChar w:fldCharType="end"/>
                          </w:r>
                        </w:p>
                        <w:p>
                          <w:pPr>
                            <w:pStyle w:val="IDSTWC"/>
                            <w:rPr/>
                          </w:pPr>
                          <w:r>
                            <w:rPr/>
                            <w:fldChar w:fldCharType="begin"/>
                          </w:r>
                          <w:r>
                            <w:rPr/>
                            <w:instrText xml:space="preserve"> KEYWORDS </w:instrText>
                          </w:r>
                          <w:r>
                            <w:rPr/>
                            <w:fldChar w:fldCharType="separate"/>
                          </w:r>
                          <w:r>
                            <w:rPr/>
                            <w:t>losangeles 61523 v4</w:t>
                          </w:r>
                          <w:r>
                            <w:rPr/>
                            <w:fldChar w:fldCharType="end"/>
                          </w:r>
                          <w:r>
                            <w:rPr/>
                            <w:t xml:space="preserve">  </w:t>
                          </w:r>
                          <w:r>
                            <w:rPr/>
                            <w:fldChar w:fldCharType="begin"/>
                          </w:r>
                          <w:r>
                            <w:rPr/>
                            <w:instrText xml:space="preserve"> IF  "" ""</w:instrText>
                          </w:r>
                          <w:r>
                            <w:rPr/>
                            <w:fldChar w:fldCharType="separate"/>
                          </w:r>
                          <w:r>
                            <w:rPr/>
                          </w:r>
                          <w:r>
                            <w:rPr/>
                            <w:fldChar w:fldCharType="end"/>
                          </w:r>
                          <w:r>
                            <w:rPr/>
                            <w:fldChar w:fldCharType="begin"/>
                          </w:r>
                          <w:r>
                            <w:rPr/>
                            <w:instrText xml:space="preserve"> IF  "" ""</w:instrText>
                          </w:r>
                          <w:r>
                            <w:rPr/>
                            <w:fldChar w:fldCharType="separate"/>
                          </w:r>
                          <w:r>
                            <w:rPr/>
                          </w:r>
                          <w:r>
                            <w:rPr/>
                            <w:fldChar w:fldCharType="end"/>
                          </w:r>
                          <w:r>
                            <w:rPr/>
                            <w:fldChar w:fldCharType="begin"/>
                          </w:r>
                          <w:r>
                            <w:rPr/>
                            <w:instrText xml:space="preserve"> IF  "" ""</w:instrText>
                          </w:r>
                          <w:r>
                            <w:rPr/>
                            <w:fldChar w:fldCharType="separate"/>
                          </w:r>
                          <w:r>
                            <w:rPr/>
                          </w:r>
                          <w:r>
                            <w:rPr/>
                            <w:fldChar w:fldCharType="end"/>
                          </w:r>
                          <w:r>
                            <w:rPr/>
                            <w:t xml:space="preserve"> </w:t>
                          </w:r>
                        </w:p>
                        <w:p>
                          <w:pPr>
                            <w:pStyle w:val="LongDocNameWC"/>
                            <w:rPr/>
                          </w:pPr>
                          <w:r>
                            <w:rPr/>
                            <w:fldChar w:fldCharType="begin"/>
                          </w:r>
                          <w:r>
                            <w:rPr/>
                            <w:instrText xml:space="preserve"> DOCPROPERTY "DOCSDescription"</w:instrText>
                          </w:r>
                          <w:r>
                            <w:rPr/>
                            <w:fldChar w:fldCharType="separate"/>
                          </w:r>
                          <w:r>
                            <w:rPr/>
                            <w:t xml:space="preserve"> </w:t>
                          </w:r>
                          <w:r>
                            <w:rPr/>
                            <w:fldChar w:fldCharType="end"/>
                          </w:r>
                          <w:r>
                            <w:rPr/>
                            <w:t xml:space="preserve"> </w:t>
                          </w:r>
                          <w:r>
                            <w:rPr/>
                            <w:fldChar w:fldCharType="begin"/>
                          </w:r>
                          <w:r>
                            <w:rPr/>
                            <w:instrText xml:space="preserve"> DOCPROPERTY "Client Matter Number"</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yle="position:absolute;rotation:-0;width:237.65pt;height:43.2pt;mso-wrap-distance-left:0pt;mso-wrap-distance-right:0pt;mso-wrap-distance-top:0pt;mso-wrap-distance-bottom:0pt;margin-top:748.8pt;mso-position-vertical:bottom;mso-position-vertical-relative:page;margin-left:72.05pt;mso-position-horizontal-relative:page">
              <v:fill opacity="0f"/>
              <v:textbox inset="0in,0in,0in,0in">
                <w:txbxContent>
                  <w:p>
                    <w:pPr>
                      <w:pStyle w:val="DateSTWC"/>
                      <w:rPr/>
                    </w:pPr>
                    <w:r>
                      <w:rPr/>
                      <w:fldChar w:fldCharType="begin"/>
                    </w:r>
                    <w:r>
                      <w:rPr/>
                      <w:instrText xml:space="preserve"> IF  "" ""</w:instrText>
                    </w:r>
                    <w:r>
                      <w:rPr/>
                      <w:fldChar w:fldCharType="separate"/>
                    </w:r>
                    <w:r>
                      <w:rPr/>
                    </w:r>
                    <w:r>
                      <w:rPr/>
                      <w:fldChar w:fldCharType="end"/>
                    </w:r>
                  </w:p>
                  <w:p>
                    <w:pPr>
                      <w:pStyle w:val="IDSTWC"/>
                      <w:rPr/>
                    </w:pPr>
                    <w:r>
                      <w:rPr/>
                      <w:fldChar w:fldCharType="begin"/>
                    </w:r>
                    <w:r>
                      <w:rPr/>
                      <w:instrText xml:space="preserve"> KEYWORDS </w:instrText>
                    </w:r>
                    <w:r>
                      <w:rPr/>
                      <w:fldChar w:fldCharType="separate"/>
                    </w:r>
                    <w:r>
                      <w:rPr/>
                      <w:t>losangeles 61523 v4</w:t>
                    </w:r>
                    <w:r>
                      <w:rPr/>
                      <w:fldChar w:fldCharType="end"/>
                    </w:r>
                    <w:r>
                      <w:rPr/>
                      <w:t xml:space="preserve">  </w:t>
                    </w:r>
                    <w:r>
                      <w:rPr/>
                      <w:fldChar w:fldCharType="begin"/>
                    </w:r>
                    <w:r>
                      <w:rPr/>
                      <w:instrText xml:space="preserve"> IF  "" ""</w:instrText>
                    </w:r>
                    <w:r>
                      <w:rPr/>
                      <w:fldChar w:fldCharType="separate"/>
                    </w:r>
                    <w:r>
                      <w:rPr/>
                    </w:r>
                    <w:r>
                      <w:rPr/>
                      <w:fldChar w:fldCharType="end"/>
                    </w:r>
                    <w:r>
                      <w:rPr/>
                      <w:fldChar w:fldCharType="begin"/>
                    </w:r>
                    <w:r>
                      <w:rPr/>
                      <w:instrText xml:space="preserve"> IF  "" ""</w:instrText>
                    </w:r>
                    <w:r>
                      <w:rPr/>
                      <w:fldChar w:fldCharType="separate"/>
                    </w:r>
                    <w:r>
                      <w:rPr/>
                    </w:r>
                    <w:r>
                      <w:rPr/>
                      <w:fldChar w:fldCharType="end"/>
                    </w:r>
                    <w:r>
                      <w:rPr/>
                      <w:fldChar w:fldCharType="begin"/>
                    </w:r>
                    <w:r>
                      <w:rPr/>
                      <w:instrText xml:space="preserve"> IF  "" ""</w:instrText>
                    </w:r>
                    <w:r>
                      <w:rPr/>
                      <w:fldChar w:fldCharType="separate"/>
                    </w:r>
                    <w:r>
                      <w:rPr/>
                    </w:r>
                    <w:r>
                      <w:rPr/>
                      <w:fldChar w:fldCharType="end"/>
                    </w:r>
                    <w:r>
                      <w:rPr/>
                      <w:t xml:space="preserve"> </w:t>
                    </w:r>
                  </w:p>
                  <w:p>
                    <w:pPr>
                      <w:pStyle w:val="LongDocNameWC"/>
                      <w:rPr/>
                    </w:pPr>
                    <w:r>
                      <w:rPr/>
                      <w:fldChar w:fldCharType="begin"/>
                    </w:r>
                    <w:r>
                      <w:rPr/>
                      <w:instrText xml:space="preserve"> DOCPROPERTY "DOCSDescription"</w:instrText>
                    </w:r>
                    <w:r>
                      <w:rPr/>
                      <w:fldChar w:fldCharType="separate"/>
                    </w:r>
                    <w:r>
                      <w:rPr/>
                      <w:t xml:space="preserve"> </w:t>
                    </w:r>
                    <w:r>
                      <w:rPr/>
                      <w:fldChar w:fldCharType="end"/>
                    </w:r>
                    <w:r>
                      <w:rPr/>
                      <w:t xml:space="preserve"> </w:t>
                    </w:r>
                    <w:r>
                      <w:rPr/>
                      <w:fldChar w:fldCharType="begin"/>
                    </w:r>
                    <w:r>
                      <w:rPr/>
                      <w:instrText xml:space="preserve"> DOCPROPERTY "Client Matter Number"</w:instrText>
                    </w:r>
                    <w:r>
                      <w:rPr/>
                      <w:fldChar w:fldCharType="separate"/>
                    </w:r>
                    <w:r>
                      <w:rPr/>
                    </w:r>
                    <w: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3018155" cy="548640"/>
              <wp:effectExtent l="0" t="0" r="0" b="0"/>
              <wp:wrapSquare wrapText="bothSides"/>
              <wp:docPr id="3" name="Frame4"/>
              <a:graphic xmlns:a="http://schemas.openxmlformats.org/drawingml/2006/main">
                <a:graphicData uri="http://schemas.microsoft.com/office/word/2010/wordprocessingShape">
                  <wps:wsp>
                    <wps:cNvSpPr txBox="1"/>
                    <wps:spPr>
                      <a:xfrm>
                        <a:off x="0" y="0"/>
                        <a:ext cx="3018155" cy="548640"/>
                      </a:xfrm>
                      <a:prstGeom prst="rect"/>
                      <a:solidFill>
                        <a:srgbClr val="FFFFFF">
                          <a:alpha val="0"/>
                        </a:srgbClr>
                      </a:solidFill>
                    </wps:spPr>
                    <wps:txbx>
                      <w:txbxContent>
                        <w:p>
                          <w:pPr>
                            <w:pStyle w:val="DateSTWC"/>
                            <w:rPr/>
                          </w:pPr>
                          <w:r>
                            <w:rPr/>
                            <w:fldChar w:fldCharType="begin"/>
                          </w:r>
                          <w:r>
                            <w:rPr/>
                            <w:instrText xml:space="preserve"> IF  "" ""</w:instrText>
                          </w:r>
                          <w:r>
                            <w:rPr/>
                            <w:fldChar w:fldCharType="separate"/>
                          </w:r>
                          <w:r>
                            <w:rPr/>
                          </w:r>
                          <w:r>
                            <w:rPr/>
                            <w:fldChar w:fldCharType="end"/>
                          </w:r>
                        </w:p>
                        <w:p>
                          <w:pPr>
                            <w:pStyle w:val="IDSTWC"/>
                            <w:rPr/>
                          </w:pPr>
                          <w:r>
                            <w:rPr/>
                            <w:fldChar w:fldCharType="begin"/>
                          </w:r>
                          <w:r>
                            <w:rPr/>
                            <w:instrText xml:space="preserve"> KEYWORDS </w:instrText>
                          </w:r>
                          <w:r>
                            <w:rPr/>
                            <w:fldChar w:fldCharType="separate"/>
                          </w:r>
                          <w:r>
                            <w:rPr/>
                            <w:t>losangeles 61523 v4</w:t>
                          </w:r>
                          <w:r>
                            <w:rPr/>
                            <w:fldChar w:fldCharType="end"/>
                          </w:r>
                          <w:r>
                            <w:rPr/>
                            <w:t xml:space="preserve">  </w:t>
                          </w:r>
                          <w:r>
                            <w:rPr/>
                            <w:fldChar w:fldCharType="begin"/>
                          </w:r>
                          <w:r>
                            <w:rPr/>
                            <w:instrText xml:space="preserve"> IF  "" ""</w:instrText>
                          </w:r>
                          <w:r>
                            <w:rPr/>
                            <w:fldChar w:fldCharType="separate"/>
                          </w:r>
                          <w:r>
                            <w:rPr/>
                          </w:r>
                          <w:r>
                            <w:rPr/>
                            <w:fldChar w:fldCharType="end"/>
                          </w:r>
                          <w:r>
                            <w:rPr/>
                            <w:fldChar w:fldCharType="begin"/>
                          </w:r>
                          <w:r>
                            <w:rPr/>
                            <w:instrText xml:space="preserve"> IF  "" ""</w:instrText>
                          </w:r>
                          <w:r>
                            <w:rPr/>
                            <w:fldChar w:fldCharType="separate"/>
                          </w:r>
                          <w:r>
                            <w:rPr/>
                          </w:r>
                          <w:r>
                            <w:rPr/>
                            <w:fldChar w:fldCharType="end"/>
                          </w:r>
                          <w:r>
                            <w:rPr/>
                            <w:t xml:space="preserve"> </w:t>
                          </w:r>
                        </w:p>
                        <w:p>
                          <w:pPr>
                            <w:pStyle w:val="LongDocNameWC"/>
                            <w:rPr/>
                          </w:pPr>
                          <w:r>
                            <w:rPr/>
                            <w:fldChar w:fldCharType="begin"/>
                          </w:r>
                          <w:r>
                            <w:rPr/>
                            <w:instrText xml:space="preserve"> DOCPROPERTY "DOCSDescription"</w:instrText>
                          </w:r>
                          <w:r>
                            <w:rPr/>
                            <w:fldChar w:fldCharType="separate"/>
                          </w:r>
                          <w:r>
                            <w:rPr/>
                            <w:t xml:space="preserve"> </w:t>
                          </w:r>
                          <w:r>
                            <w:rPr/>
                            <w:fldChar w:fldCharType="end"/>
                          </w:r>
                          <w:r>
                            <w:rPr/>
                            <w:t xml:space="preserve"> </w:t>
                          </w:r>
                          <w:r>
                            <w:rPr/>
                            <w:fldChar w:fldCharType="begin"/>
                          </w:r>
                          <w:r>
                            <w:rPr/>
                            <w:instrText xml:space="preserve"> DOCPROPERTY "Client Matter Number"</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yle="position:absolute;rotation:-0;width:237.65pt;height:43.2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DateSTWC"/>
                      <w:rPr/>
                    </w:pPr>
                    <w:r>
                      <w:rPr/>
                      <w:fldChar w:fldCharType="begin"/>
                    </w:r>
                    <w:r>
                      <w:rPr/>
                      <w:instrText xml:space="preserve"> IF  "" ""</w:instrText>
                    </w:r>
                    <w:r>
                      <w:rPr/>
                      <w:fldChar w:fldCharType="separate"/>
                    </w:r>
                    <w:r>
                      <w:rPr/>
                    </w:r>
                    <w:r>
                      <w:rPr/>
                      <w:fldChar w:fldCharType="end"/>
                    </w:r>
                  </w:p>
                  <w:p>
                    <w:pPr>
                      <w:pStyle w:val="IDSTWC"/>
                      <w:rPr/>
                    </w:pPr>
                    <w:r>
                      <w:rPr/>
                      <w:fldChar w:fldCharType="begin"/>
                    </w:r>
                    <w:r>
                      <w:rPr/>
                      <w:instrText xml:space="preserve"> KEYWORDS </w:instrText>
                    </w:r>
                    <w:r>
                      <w:rPr/>
                      <w:fldChar w:fldCharType="separate"/>
                    </w:r>
                    <w:r>
                      <w:rPr/>
                      <w:t>losangeles 61523 v4</w:t>
                    </w:r>
                    <w:r>
                      <w:rPr/>
                      <w:fldChar w:fldCharType="end"/>
                    </w:r>
                    <w:r>
                      <w:rPr/>
                      <w:t xml:space="preserve">  </w:t>
                    </w:r>
                    <w:r>
                      <w:rPr/>
                      <w:fldChar w:fldCharType="begin"/>
                    </w:r>
                    <w:r>
                      <w:rPr/>
                      <w:instrText xml:space="preserve"> IF  "" ""</w:instrText>
                    </w:r>
                    <w:r>
                      <w:rPr/>
                      <w:fldChar w:fldCharType="separate"/>
                    </w:r>
                    <w:r>
                      <w:rPr/>
                    </w:r>
                    <w:r>
                      <w:rPr/>
                      <w:fldChar w:fldCharType="end"/>
                    </w:r>
                    <w:r>
                      <w:rPr/>
                      <w:fldChar w:fldCharType="begin"/>
                    </w:r>
                    <w:r>
                      <w:rPr/>
                      <w:instrText xml:space="preserve"> IF  "" ""</w:instrText>
                    </w:r>
                    <w:r>
                      <w:rPr/>
                      <w:fldChar w:fldCharType="separate"/>
                    </w:r>
                    <w:r>
                      <w:rPr/>
                    </w:r>
                    <w:r>
                      <w:rPr/>
                      <w:fldChar w:fldCharType="end"/>
                    </w:r>
                    <w:r>
                      <w:rPr/>
                      <w:t xml:space="preserve"> </w:t>
                    </w:r>
                  </w:p>
                  <w:p>
                    <w:pPr>
                      <w:pStyle w:val="LongDocNameWC"/>
                      <w:rPr/>
                    </w:pPr>
                    <w:r>
                      <w:rPr/>
                      <w:fldChar w:fldCharType="begin"/>
                    </w:r>
                    <w:r>
                      <w:rPr/>
                      <w:instrText xml:space="preserve"> DOCPROPERTY "DOCSDescription"</w:instrText>
                    </w:r>
                    <w:r>
                      <w:rPr/>
                      <w:fldChar w:fldCharType="separate"/>
                    </w:r>
                    <w:r>
                      <w:rPr/>
                      <w:t xml:space="preserve"> </w:t>
                    </w:r>
                    <w:r>
                      <w:rPr/>
                      <w:fldChar w:fldCharType="end"/>
                    </w:r>
                    <w:r>
                      <w:rPr/>
                      <w:t xml:space="preserve"> </w:t>
                    </w:r>
                    <w:r>
                      <w:rPr/>
                      <w:fldChar w:fldCharType="begin"/>
                    </w:r>
                    <w:r>
                      <w:rPr/>
                      <w:instrText xml:space="preserve"> DOCPROPERTY "Client Matter Number"</w:instrText>
                    </w:r>
                    <w:r>
                      <w:rPr/>
                      <w:fldChar w:fldCharType="separate"/>
                    </w:r>
                    <w:r>
                      <w:rPr/>
                    </w:r>
                    <w: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PageNumber"/>
      </w:rPr>
      <w:t>-</w:t>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align>bottom</wp:align>
              </wp:positionV>
              <wp:extent cx="3018155" cy="548640"/>
              <wp:effectExtent l="0" t="0" r="0" b="0"/>
              <wp:wrapSquare wrapText="bothSides"/>
              <wp:docPr id="4" name="Frame3"/>
              <a:graphic xmlns:a="http://schemas.openxmlformats.org/drawingml/2006/main">
                <a:graphicData uri="http://schemas.microsoft.com/office/word/2010/wordprocessingShape">
                  <wps:wsp>
                    <wps:cNvSpPr txBox="1"/>
                    <wps:spPr>
                      <a:xfrm>
                        <a:off x="0" y="0"/>
                        <a:ext cx="3018155" cy="548640"/>
                      </a:xfrm>
                      <a:prstGeom prst="rect"/>
                      <a:solidFill>
                        <a:srgbClr val="FFFFFF">
                          <a:alpha val="0"/>
                        </a:srgbClr>
                      </a:solidFill>
                    </wps:spPr>
                    <wps:txbx>
                      <w:txbxContent>
                        <w:p>
                          <w:pPr>
                            <w:pStyle w:val="DateSTWC"/>
                            <w:rPr/>
                          </w:pPr>
                          <w:r>
                            <w:rPr/>
                            <w:fldChar w:fldCharType="begin"/>
                          </w:r>
                          <w:r>
                            <w:rPr/>
                            <w:instrText xml:space="preserve"> IF  "" ""</w:instrText>
                          </w:r>
                          <w:r>
                            <w:rPr/>
                            <w:fldChar w:fldCharType="separate"/>
                          </w:r>
                          <w:r>
                            <w:rPr/>
                          </w:r>
                          <w:r>
                            <w:rPr/>
                            <w:fldChar w:fldCharType="end"/>
                          </w:r>
                        </w:p>
                        <w:p>
                          <w:pPr>
                            <w:pStyle w:val="IDSTWC"/>
                            <w:rPr/>
                          </w:pPr>
                          <w:r>
                            <w:rPr/>
                            <w:fldChar w:fldCharType="begin"/>
                          </w:r>
                          <w:r>
                            <w:rPr/>
                            <w:instrText xml:space="preserve"> KEYWORDS </w:instrText>
                          </w:r>
                          <w:r>
                            <w:rPr/>
                            <w:fldChar w:fldCharType="separate"/>
                          </w:r>
                          <w:r>
                            <w:rPr/>
                            <w:t>losangeles 61523 v4</w:t>
                          </w:r>
                          <w:r>
                            <w:rPr/>
                            <w:fldChar w:fldCharType="end"/>
                          </w:r>
                          <w:r>
                            <w:rPr/>
                            <w:t xml:space="preserve">  </w:t>
                          </w:r>
                          <w:r>
                            <w:rPr/>
                            <w:fldChar w:fldCharType="begin"/>
                          </w:r>
                          <w:r>
                            <w:rPr/>
                            <w:instrText xml:space="preserve"> IF  "" ""</w:instrText>
                          </w:r>
                          <w:r>
                            <w:rPr/>
                            <w:fldChar w:fldCharType="separate"/>
                          </w:r>
                          <w:r>
                            <w:rPr/>
                          </w:r>
                          <w:r>
                            <w:rPr/>
                            <w:fldChar w:fldCharType="end"/>
                          </w:r>
                          <w:r>
                            <w:rPr/>
                            <w:fldChar w:fldCharType="begin"/>
                          </w:r>
                          <w:r>
                            <w:rPr/>
                            <w:instrText xml:space="preserve"> IF  "" ""</w:instrText>
                          </w:r>
                          <w:r>
                            <w:rPr/>
                            <w:fldChar w:fldCharType="separate"/>
                          </w:r>
                          <w:r>
                            <w:rPr/>
                          </w:r>
                          <w:r>
                            <w:rPr/>
                            <w:fldChar w:fldCharType="end"/>
                          </w:r>
                          <w:r>
                            <w:rPr/>
                            <w:fldChar w:fldCharType="begin"/>
                          </w:r>
                          <w:r>
                            <w:rPr/>
                            <w:instrText xml:space="preserve"> IF  "" ""</w:instrText>
                          </w:r>
                          <w:r>
                            <w:rPr/>
                            <w:fldChar w:fldCharType="separate"/>
                          </w:r>
                          <w:r>
                            <w:rPr/>
                          </w:r>
                          <w:r>
                            <w:rPr/>
                            <w:fldChar w:fldCharType="end"/>
                          </w:r>
                          <w:r>
                            <w:rPr/>
                            <w:t xml:space="preserve"> </w:t>
                          </w:r>
                        </w:p>
                        <w:p>
                          <w:pPr>
                            <w:pStyle w:val="LongDocNameWC"/>
                            <w:rPr/>
                          </w:pPr>
                          <w:r>
                            <w:rPr/>
                            <w:fldChar w:fldCharType="begin"/>
                          </w:r>
                          <w:r>
                            <w:rPr/>
                            <w:instrText xml:space="preserve"> DOCPROPERTY "DOCSDescription"</w:instrText>
                          </w:r>
                          <w:r>
                            <w:rPr/>
                            <w:fldChar w:fldCharType="separate"/>
                          </w:r>
                          <w:r>
                            <w:rPr/>
                            <w:t xml:space="preserve"> </w:t>
                          </w:r>
                          <w:r>
                            <w:rPr/>
                            <w:fldChar w:fldCharType="end"/>
                          </w:r>
                          <w:r>
                            <w:rPr/>
                            <w:t xml:space="preserve"> </w:t>
                          </w:r>
                          <w:r>
                            <w:rPr/>
                            <w:fldChar w:fldCharType="begin"/>
                          </w:r>
                          <w:r>
                            <w:rPr/>
                            <w:instrText xml:space="preserve"> DOCPROPERTY "Client Matter Number"</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yle="position:absolute;rotation:-0;width:237.65pt;height:43.2pt;mso-wrap-distance-left:0pt;mso-wrap-distance-right:0pt;mso-wrap-distance-top:0pt;mso-wrap-distance-bottom:0pt;margin-top:748.8pt;mso-position-vertical:bottom;mso-position-vertical-relative:page;margin-left:72.05pt;mso-position-horizontal-relative:page">
              <v:fill opacity="0f"/>
              <v:textbox inset="0in,0in,0in,0in">
                <w:txbxContent>
                  <w:p>
                    <w:pPr>
                      <w:pStyle w:val="DateSTWC"/>
                      <w:rPr/>
                    </w:pPr>
                    <w:r>
                      <w:rPr/>
                      <w:fldChar w:fldCharType="begin"/>
                    </w:r>
                    <w:r>
                      <w:rPr/>
                      <w:instrText xml:space="preserve"> IF  "" ""</w:instrText>
                    </w:r>
                    <w:r>
                      <w:rPr/>
                      <w:fldChar w:fldCharType="separate"/>
                    </w:r>
                    <w:r>
                      <w:rPr/>
                    </w:r>
                    <w:r>
                      <w:rPr/>
                      <w:fldChar w:fldCharType="end"/>
                    </w:r>
                  </w:p>
                  <w:p>
                    <w:pPr>
                      <w:pStyle w:val="IDSTWC"/>
                      <w:rPr/>
                    </w:pPr>
                    <w:r>
                      <w:rPr/>
                      <w:fldChar w:fldCharType="begin"/>
                    </w:r>
                    <w:r>
                      <w:rPr/>
                      <w:instrText xml:space="preserve"> KEYWORDS </w:instrText>
                    </w:r>
                    <w:r>
                      <w:rPr/>
                      <w:fldChar w:fldCharType="separate"/>
                    </w:r>
                    <w:r>
                      <w:rPr/>
                      <w:t>losangeles 61523 v4</w:t>
                    </w:r>
                    <w:r>
                      <w:rPr/>
                      <w:fldChar w:fldCharType="end"/>
                    </w:r>
                    <w:r>
                      <w:rPr/>
                      <w:t xml:space="preserve">  </w:t>
                    </w:r>
                    <w:r>
                      <w:rPr/>
                      <w:fldChar w:fldCharType="begin"/>
                    </w:r>
                    <w:r>
                      <w:rPr/>
                      <w:instrText xml:space="preserve"> IF  "" ""</w:instrText>
                    </w:r>
                    <w:r>
                      <w:rPr/>
                      <w:fldChar w:fldCharType="separate"/>
                    </w:r>
                    <w:r>
                      <w:rPr/>
                    </w:r>
                    <w:r>
                      <w:rPr/>
                      <w:fldChar w:fldCharType="end"/>
                    </w:r>
                    <w:r>
                      <w:rPr/>
                      <w:fldChar w:fldCharType="begin"/>
                    </w:r>
                    <w:r>
                      <w:rPr/>
                      <w:instrText xml:space="preserve"> IF  "" ""</w:instrText>
                    </w:r>
                    <w:r>
                      <w:rPr/>
                      <w:fldChar w:fldCharType="separate"/>
                    </w:r>
                    <w:r>
                      <w:rPr/>
                    </w:r>
                    <w:r>
                      <w:rPr/>
                      <w:fldChar w:fldCharType="end"/>
                    </w:r>
                    <w:r>
                      <w:rPr/>
                      <w:fldChar w:fldCharType="begin"/>
                    </w:r>
                    <w:r>
                      <w:rPr/>
                      <w:instrText xml:space="preserve"> IF  "" ""</w:instrText>
                    </w:r>
                    <w:r>
                      <w:rPr/>
                      <w:fldChar w:fldCharType="separate"/>
                    </w:r>
                    <w:r>
                      <w:rPr/>
                    </w:r>
                    <w:r>
                      <w:rPr/>
                      <w:fldChar w:fldCharType="end"/>
                    </w:r>
                    <w:r>
                      <w:rPr/>
                      <w:t xml:space="preserve"> </w:t>
                    </w:r>
                  </w:p>
                  <w:p>
                    <w:pPr>
                      <w:pStyle w:val="LongDocNameWC"/>
                      <w:rPr/>
                    </w:pPr>
                    <w:r>
                      <w:rPr/>
                      <w:fldChar w:fldCharType="begin"/>
                    </w:r>
                    <w:r>
                      <w:rPr/>
                      <w:instrText xml:space="preserve"> DOCPROPERTY "DOCSDescription"</w:instrText>
                    </w:r>
                    <w:r>
                      <w:rPr/>
                      <w:fldChar w:fldCharType="separate"/>
                    </w:r>
                    <w:r>
                      <w:rPr/>
                      <w:t xml:space="preserve"> </w:t>
                    </w:r>
                    <w:r>
                      <w:rPr/>
                      <w:fldChar w:fldCharType="end"/>
                    </w:r>
                    <w:r>
                      <w:rPr/>
                      <w:t xml:space="preserve"> </w:t>
                    </w:r>
                    <w:r>
                      <w:rPr/>
                      <w:fldChar w:fldCharType="begin"/>
                    </w:r>
                    <w:r>
                      <w:rPr/>
                      <w:instrText xml:space="preserve"> DOCPROPERTY "Client Matter Number"</w:instrText>
                    </w:r>
                    <w:r>
                      <w:rPr/>
                      <w:fldChar w:fldCharType="separate"/>
                    </w:r>
                    <w:r>
                      <w:rPr/>
                    </w:r>
                    <w: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r>
      <w:rPr>
        <w:rStyle w:val="PageNumber"/>
      </w:rPr>
      <w: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3018155" cy="548640"/>
              <wp:effectExtent l="0" t="0" r="0" b="0"/>
              <wp:wrapSquare wrapText="bothSides"/>
              <wp:docPr id="5" name="Frame5"/>
              <a:graphic xmlns:a="http://schemas.openxmlformats.org/drawingml/2006/main">
                <a:graphicData uri="http://schemas.microsoft.com/office/word/2010/wordprocessingShape">
                  <wps:wsp>
                    <wps:cNvSpPr txBox="1"/>
                    <wps:spPr>
                      <a:xfrm>
                        <a:off x="0" y="0"/>
                        <a:ext cx="3018155" cy="548640"/>
                      </a:xfrm>
                      <a:prstGeom prst="rect"/>
                      <a:solidFill>
                        <a:srgbClr val="FFFFFF">
                          <a:alpha val="0"/>
                        </a:srgbClr>
                      </a:solidFill>
                    </wps:spPr>
                    <wps:txbx>
                      <w:txbxContent>
                        <w:p>
                          <w:pPr>
                            <w:pStyle w:val="DateSTWC"/>
                            <w:rPr/>
                          </w:pPr>
                          <w:r>
                            <w:rPr/>
                            <w:fldChar w:fldCharType="begin"/>
                          </w:r>
                          <w:r>
                            <w:rPr/>
                            <w:instrText xml:space="preserve"> IF  "" ""</w:instrText>
                          </w:r>
                          <w:r>
                            <w:rPr/>
                            <w:fldChar w:fldCharType="separate"/>
                          </w:r>
                          <w:r>
                            <w:rPr/>
                          </w:r>
                          <w:r>
                            <w:rPr/>
                            <w:fldChar w:fldCharType="end"/>
                          </w:r>
                        </w:p>
                        <w:p>
                          <w:pPr>
                            <w:pStyle w:val="IDSTWC"/>
                            <w:rPr/>
                          </w:pPr>
                          <w:r>
                            <w:rPr/>
                            <w:fldChar w:fldCharType="begin"/>
                          </w:r>
                          <w:r>
                            <w:rPr/>
                            <w:instrText xml:space="preserve"> KEYWORDS </w:instrText>
                          </w:r>
                          <w:r>
                            <w:rPr/>
                            <w:fldChar w:fldCharType="separate"/>
                          </w:r>
                          <w:r>
                            <w:rPr/>
                            <w:t>losangeles 61523 v4</w:t>
                          </w:r>
                          <w:r>
                            <w:rPr/>
                            <w:fldChar w:fldCharType="end"/>
                          </w:r>
                          <w:r>
                            <w:rPr/>
                            <w:t xml:space="preserve">  </w:t>
                          </w:r>
                          <w:r>
                            <w:rPr/>
                            <w:fldChar w:fldCharType="begin"/>
                          </w:r>
                          <w:r>
                            <w:rPr/>
                            <w:instrText xml:space="preserve"> IF  "" ""</w:instrText>
                          </w:r>
                          <w:r>
                            <w:rPr/>
                            <w:fldChar w:fldCharType="separate"/>
                          </w:r>
                          <w:r>
                            <w:rPr/>
                          </w:r>
                          <w:r>
                            <w:rPr/>
                            <w:fldChar w:fldCharType="end"/>
                          </w:r>
                          <w:r>
                            <w:rPr/>
                            <w:fldChar w:fldCharType="begin"/>
                          </w:r>
                          <w:r>
                            <w:rPr/>
                            <w:instrText xml:space="preserve"> IF  "" ""</w:instrText>
                          </w:r>
                          <w:r>
                            <w:rPr/>
                            <w:fldChar w:fldCharType="separate"/>
                          </w:r>
                          <w:r>
                            <w:rPr/>
                          </w:r>
                          <w:r>
                            <w:rPr/>
                            <w:fldChar w:fldCharType="end"/>
                          </w:r>
                          <w:r>
                            <w:rPr/>
                            <w:fldChar w:fldCharType="begin"/>
                          </w:r>
                          <w:r>
                            <w:rPr/>
                            <w:instrText xml:space="preserve"> IF  "" ""</w:instrText>
                          </w:r>
                          <w:r>
                            <w:rPr/>
                            <w:fldChar w:fldCharType="separate"/>
                          </w:r>
                          <w:r>
                            <w:rPr/>
                          </w:r>
                          <w:r>
                            <w:rPr/>
                            <w:fldChar w:fldCharType="end"/>
                          </w:r>
                          <w:r>
                            <w:rPr/>
                            <w:t xml:space="preserve"> </w:t>
                          </w:r>
                        </w:p>
                        <w:p>
                          <w:pPr>
                            <w:pStyle w:val="LongDocNameWC"/>
                            <w:rPr/>
                          </w:pPr>
                          <w:r>
                            <w:rPr/>
                            <w:fldChar w:fldCharType="begin"/>
                          </w:r>
                          <w:r>
                            <w:rPr/>
                            <w:instrText xml:space="preserve"> DOCPROPERTY "DOCSDescription"</w:instrText>
                          </w:r>
                          <w:r>
                            <w:rPr/>
                            <w:fldChar w:fldCharType="separate"/>
                          </w:r>
                          <w:r>
                            <w:rPr/>
                            <w:t xml:space="preserve"> </w:t>
                          </w:r>
                          <w:r>
                            <w:rPr/>
                            <w:fldChar w:fldCharType="end"/>
                          </w:r>
                          <w:r>
                            <w:rPr/>
                            <w:t xml:space="preserve"> </w:t>
                          </w:r>
                          <w:r>
                            <w:rPr/>
                            <w:fldChar w:fldCharType="begin"/>
                          </w:r>
                          <w:r>
                            <w:rPr/>
                            <w:instrText xml:space="preserve"> DOCPROPERTY "Client Matter Number"</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yle="position:absolute;rotation:-0;width:237.65pt;height:43.2pt;mso-wrap-distance-left:0pt;mso-wrap-distance-right:0pt;mso-wrap-distance-top:0pt;mso-wrap-distance-bottom:0pt;margin-top:748.8pt;mso-position-vertical:bottom;mso-position-vertical-relative:page;margin-left:72.05pt;mso-position-horizontal-relative:page">
              <v:fill opacity="0f"/>
              <v:textbox inset="0in,0in,0in,0in">
                <w:txbxContent>
                  <w:p>
                    <w:pPr>
                      <w:pStyle w:val="DateSTWC"/>
                      <w:rPr/>
                    </w:pPr>
                    <w:r>
                      <w:rPr/>
                      <w:fldChar w:fldCharType="begin"/>
                    </w:r>
                    <w:r>
                      <w:rPr/>
                      <w:instrText xml:space="preserve"> IF  "" ""</w:instrText>
                    </w:r>
                    <w:r>
                      <w:rPr/>
                      <w:fldChar w:fldCharType="separate"/>
                    </w:r>
                    <w:r>
                      <w:rPr/>
                    </w:r>
                    <w:r>
                      <w:rPr/>
                      <w:fldChar w:fldCharType="end"/>
                    </w:r>
                  </w:p>
                  <w:p>
                    <w:pPr>
                      <w:pStyle w:val="IDSTWC"/>
                      <w:rPr/>
                    </w:pPr>
                    <w:r>
                      <w:rPr/>
                      <w:fldChar w:fldCharType="begin"/>
                    </w:r>
                    <w:r>
                      <w:rPr/>
                      <w:instrText xml:space="preserve"> KEYWORDS </w:instrText>
                    </w:r>
                    <w:r>
                      <w:rPr/>
                      <w:fldChar w:fldCharType="separate"/>
                    </w:r>
                    <w:r>
                      <w:rPr/>
                      <w:t>losangeles 61523 v4</w:t>
                    </w:r>
                    <w:r>
                      <w:rPr/>
                      <w:fldChar w:fldCharType="end"/>
                    </w:r>
                    <w:r>
                      <w:rPr/>
                      <w:t xml:space="preserve">  </w:t>
                    </w:r>
                    <w:r>
                      <w:rPr/>
                      <w:fldChar w:fldCharType="begin"/>
                    </w:r>
                    <w:r>
                      <w:rPr/>
                      <w:instrText xml:space="preserve"> IF  "" ""</w:instrText>
                    </w:r>
                    <w:r>
                      <w:rPr/>
                      <w:fldChar w:fldCharType="separate"/>
                    </w:r>
                    <w:r>
                      <w:rPr/>
                    </w:r>
                    <w:r>
                      <w:rPr/>
                      <w:fldChar w:fldCharType="end"/>
                    </w:r>
                    <w:r>
                      <w:rPr/>
                      <w:fldChar w:fldCharType="begin"/>
                    </w:r>
                    <w:r>
                      <w:rPr/>
                      <w:instrText xml:space="preserve"> IF  "" ""</w:instrText>
                    </w:r>
                    <w:r>
                      <w:rPr/>
                      <w:fldChar w:fldCharType="separate"/>
                    </w:r>
                    <w:r>
                      <w:rPr/>
                    </w:r>
                    <w:r>
                      <w:rPr/>
                      <w:fldChar w:fldCharType="end"/>
                    </w:r>
                    <w:r>
                      <w:rPr/>
                      <w:fldChar w:fldCharType="begin"/>
                    </w:r>
                    <w:r>
                      <w:rPr/>
                      <w:instrText xml:space="preserve"> IF  "" ""</w:instrText>
                    </w:r>
                    <w:r>
                      <w:rPr/>
                      <w:fldChar w:fldCharType="separate"/>
                    </w:r>
                    <w:r>
                      <w:rPr/>
                    </w:r>
                    <w:r>
                      <w:rPr/>
                      <w:fldChar w:fldCharType="end"/>
                    </w:r>
                    <w:r>
                      <w:rPr/>
                      <w:t xml:space="preserve"> </w:t>
                    </w:r>
                  </w:p>
                  <w:p>
                    <w:pPr>
                      <w:pStyle w:val="LongDocNameWC"/>
                      <w:rPr/>
                    </w:pPr>
                    <w:r>
                      <w:rPr/>
                      <w:fldChar w:fldCharType="begin"/>
                    </w:r>
                    <w:r>
                      <w:rPr/>
                      <w:instrText xml:space="preserve"> DOCPROPERTY "DOCSDescription"</w:instrText>
                    </w:r>
                    <w:r>
                      <w:rPr/>
                      <w:fldChar w:fldCharType="separate"/>
                    </w:r>
                    <w:r>
                      <w:rPr/>
                      <w:t xml:space="preserve"> </w:t>
                    </w:r>
                    <w:r>
                      <w:rPr/>
                      <w:fldChar w:fldCharType="end"/>
                    </w:r>
                    <w:r>
                      <w:rPr/>
                      <w:t xml:space="preserve"> </w:t>
                    </w:r>
                    <w:r>
                      <w:rPr/>
                      <w:fldChar w:fldCharType="begin"/>
                    </w:r>
                    <w:r>
                      <w:rPr/>
                      <w:instrText xml:space="preserve"> DOCPROPERTY "Client Matter Number"</w:instrText>
                    </w:r>
                    <w:r>
                      <w:rPr/>
                      <w:fldChar w:fldCharType="separate"/>
                    </w:r>
                    <w:r>
                      <w:rPr/>
                    </w:r>
                    <w: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r>
      <w:rPr>
        <w:rStyle w:val="PageNumber"/>
      </w:rPr>
      <w:t>-</w:t>
    </w:r>
    <w:r>
      <mc:AlternateContent>
        <mc:Choice Requires="wps">
          <w:drawing>
            <wp:anchor behindDoc="0" distT="0" distB="0" distL="0" distR="0" simplePos="0" locked="0" layoutInCell="0" allowOverlap="1" relativeHeight="49">
              <wp:simplePos x="0" y="0"/>
              <wp:positionH relativeFrom="page">
                <wp:posOffset>915035</wp:posOffset>
              </wp:positionH>
              <wp:positionV relativeFrom="page">
                <wp:align>bottom</wp:align>
              </wp:positionV>
              <wp:extent cx="3018155" cy="548640"/>
              <wp:effectExtent l="0" t="0" r="0" b="0"/>
              <wp:wrapSquare wrapText="bothSides"/>
              <wp:docPr id="6" name="Frame7"/>
              <a:graphic xmlns:a="http://schemas.openxmlformats.org/drawingml/2006/main">
                <a:graphicData uri="http://schemas.microsoft.com/office/word/2010/wordprocessingShape">
                  <wps:wsp>
                    <wps:cNvSpPr txBox="1"/>
                    <wps:spPr>
                      <a:xfrm>
                        <a:off x="0" y="0"/>
                        <a:ext cx="3018155" cy="548640"/>
                      </a:xfrm>
                      <a:prstGeom prst="rect"/>
                      <a:solidFill>
                        <a:srgbClr val="FFFFFF">
                          <a:alpha val="0"/>
                        </a:srgbClr>
                      </a:solidFill>
                    </wps:spPr>
                    <wps:txbx>
                      <w:txbxContent>
                        <w:p>
                          <w:pPr>
                            <w:pStyle w:val="DateSTWC"/>
                            <w:rPr/>
                          </w:pPr>
                          <w:r>
                            <w:rPr/>
                            <w:fldChar w:fldCharType="begin"/>
                          </w:r>
                          <w:r>
                            <w:rPr/>
                            <w:instrText xml:space="preserve"> IF  "" ""</w:instrText>
                          </w:r>
                          <w:r>
                            <w:rPr/>
                            <w:fldChar w:fldCharType="separate"/>
                          </w:r>
                          <w:r>
                            <w:rPr/>
                          </w:r>
                          <w:r>
                            <w:rPr/>
                            <w:fldChar w:fldCharType="end"/>
                          </w:r>
                        </w:p>
                        <w:p>
                          <w:pPr>
                            <w:pStyle w:val="IDSTWC"/>
                            <w:rPr/>
                          </w:pPr>
                          <w:r>
                            <w:rPr/>
                            <w:fldChar w:fldCharType="begin"/>
                          </w:r>
                          <w:r>
                            <w:rPr/>
                            <w:instrText xml:space="preserve"> KEYWORDS </w:instrText>
                          </w:r>
                          <w:r>
                            <w:rPr/>
                            <w:fldChar w:fldCharType="separate"/>
                          </w:r>
                          <w:r>
                            <w:rPr/>
                            <w:t>losangeles 61523 v4</w:t>
                          </w:r>
                          <w:r>
                            <w:rPr/>
                            <w:fldChar w:fldCharType="end"/>
                          </w:r>
                          <w:r>
                            <w:rPr/>
                            <w:t xml:space="preserve">  </w:t>
                          </w:r>
                          <w:r>
                            <w:rPr/>
                            <w:fldChar w:fldCharType="begin"/>
                          </w:r>
                          <w:r>
                            <w:rPr/>
                            <w:instrText xml:space="preserve"> IF  "" ""</w:instrText>
                          </w:r>
                          <w:r>
                            <w:rPr/>
                            <w:fldChar w:fldCharType="separate"/>
                          </w:r>
                          <w:r>
                            <w:rPr/>
                          </w:r>
                          <w:r>
                            <w:rPr/>
                            <w:fldChar w:fldCharType="end"/>
                          </w:r>
                          <w:r>
                            <w:rPr/>
                            <w:fldChar w:fldCharType="begin"/>
                          </w:r>
                          <w:r>
                            <w:rPr/>
                            <w:instrText xml:space="preserve"> IF  "" ""</w:instrText>
                          </w:r>
                          <w:r>
                            <w:rPr/>
                            <w:fldChar w:fldCharType="separate"/>
                          </w:r>
                          <w:r>
                            <w:rPr/>
                          </w:r>
                          <w:r>
                            <w:rPr/>
                            <w:fldChar w:fldCharType="end"/>
                          </w:r>
                          <w:r>
                            <w:rPr/>
                            <w:fldChar w:fldCharType="begin"/>
                          </w:r>
                          <w:r>
                            <w:rPr/>
                            <w:instrText xml:space="preserve"> IF  "" ""</w:instrText>
                          </w:r>
                          <w:r>
                            <w:rPr/>
                            <w:fldChar w:fldCharType="separate"/>
                          </w:r>
                          <w:r>
                            <w:rPr/>
                          </w:r>
                          <w:r>
                            <w:rPr/>
                            <w:fldChar w:fldCharType="end"/>
                          </w:r>
                          <w:r>
                            <w:rPr/>
                            <w:t xml:space="preserve"> </w:t>
                          </w:r>
                        </w:p>
                        <w:p>
                          <w:pPr>
                            <w:pStyle w:val="LongDocNameWC"/>
                            <w:rPr/>
                          </w:pPr>
                          <w:r>
                            <w:rPr/>
                            <w:fldChar w:fldCharType="begin"/>
                          </w:r>
                          <w:r>
                            <w:rPr/>
                            <w:instrText xml:space="preserve"> DOCPROPERTY "DOCSDescription"</w:instrText>
                          </w:r>
                          <w:r>
                            <w:rPr/>
                            <w:fldChar w:fldCharType="separate"/>
                          </w:r>
                          <w:r>
                            <w:rPr/>
                            <w:t xml:space="preserve"> </w:t>
                          </w:r>
                          <w:r>
                            <w:rPr/>
                            <w:fldChar w:fldCharType="end"/>
                          </w:r>
                          <w:r>
                            <w:rPr/>
                            <w:t xml:space="preserve"> </w:t>
                          </w:r>
                          <w:r>
                            <w:rPr/>
                            <w:fldChar w:fldCharType="begin"/>
                          </w:r>
                          <w:r>
                            <w:rPr/>
                            <w:instrText xml:space="preserve"> DOCPROPERTY "Client Matter Number"</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yle="position:absolute;rotation:-0;width:237.65pt;height:43.2pt;mso-wrap-distance-left:0pt;mso-wrap-distance-right:0pt;mso-wrap-distance-top:0pt;mso-wrap-distance-bottom:0pt;margin-top:748.8pt;mso-position-vertical:bottom;mso-position-vertical-relative:page;margin-left:72.05pt;mso-position-horizontal-relative:page">
              <v:fill opacity="0f"/>
              <v:textbox inset="0in,0in,0in,0in">
                <w:txbxContent>
                  <w:p>
                    <w:pPr>
                      <w:pStyle w:val="DateSTWC"/>
                      <w:rPr/>
                    </w:pPr>
                    <w:r>
                      <w:rPr/>
                      <w:fldChar w:fldCharType="begin"/>
                    </w:r>
                    <w:r>
                      <w:rPr/>
                      <w:instrText xml:space="preserve"> IF  "" ""</w:instrText>
                    </w:r>
                    <w:r>
                      <w:rPr/>
                      <w:fldChar w:fldCharType="separate"/>
                    </w:r>
                    <w:r>
                      <w:rPr/>
                    </w:r>
                    <w:r>
                      <w:rPr/>
                      <w:fldChar w:fldCharType="end"/>
                    </w:r>
                  </w:p>
                  <w:p>
                    <w:pPr>
                      <w:pStyle w:val="IDSTWC"/>
                      <w:rPr/>
                    </w:pPr>
                    <w:r>
                      <w:rPr/>
                      <w:fldChar w:fldCharType="begin"/>
                    </w:r>
                    <w:r>
                      <w:rPr/>
                      <w:instrText xml:space="preserve"> KEYWORDS </w:instrText>
                    </w:r>
                    <w:r>
                      <w:rPr/>
                      <w:fldChar w:fldCharType="separate"/>
                    </w:r>
                    <w:r>
                      <w:rPr/>
                      <w:t>losangeles 61523 v4</w:t>
                    </w:r>
                    <w:r>
                      <w:rPr/>
                      <w:fldChar w:fldCharType="end"/>
                    </w:r>
                    <w:r>
                      <w:rPr/>
                      <w:t xml:space="preserve">  </w:t>
                    </w:r>
                    <w:r>
                      <w:rPr/>
                      <w:fldChar w:fldCharType="begin"/>
                    </w:r>
                    <w:r>
                      <w:rPr/>
                      <w:instrText xml:space="preserve"> IF  "" ""</w:instrText>
                    </w:r>
                    <w:r>
                      <w:rPr/>
                      <w:fldChar w:fldCharType="separate"/>
                    </w:r>
                    <w:r>
                      <w:rPr/>
                    </w:r>
                    <w:r>
                      <w:rPr/>
                      <w:fldChar w:fldCharType="end"/>
                    </w:r>
                    <w:r>
                      <w:rPr/>
                      <w:fldChar w:fldCharType="begin"/>
                    </w:r>
                    <w:r>
                      <w:rPr/>
                      <w:instrText xml:space="preserve"> IF  "" ""</w:instrText>
                    </w:r>
                    <w:r>
                      <w:rPr/>
                      <w:fldChar w:fldCharType="separate"/>
                    </w:r>
                    <w:r>
                      <w:rPr/>
                    </w:r>
                    <w:r>
                      <w:rPr/>
                      <w:fldChar w:fldCharType="end"/>
                    </w:r>
                    <w:r>
                      <w:rPr/>
                      <w:fldChar w:fldCharType="begin"/>
                    </w:r>
                    <w:r>
                      <w:rPr/>
                      <w:instrText xml:space="preserve"> IF  "" ""</w:instrText>
                    </w:r>
                    <w:r>
                      <w:rPr/>
                      <w:fldChar w:fldCharType="separate"/>
                    </w:r>
                    <w:r>
                      <w:rPr/>
                    </w:r>
                    <w:r>
                      <w:rPr/>
                      <w:fldChar w:fldCharType="end"/>
                    </w:r>
                    <w:r>
                      <w:rPr/>
                      <w:t xml:space="preserve"> </w:t>
                    </w:r>
                  </w:p>
                  <w:p>
                    <w:pPr>
                      <w:pStyle w:val="LongDocNameWC"/>
                      <w:rPr/>
                    </w:pPr>
                    <w:r>
                      <w:rPr/>
                      <w:fldChar w:fldCharType="begin"/>
                    </w:r>
                    <w:r>
                      <w:rPr/>
                      <w:instrText xml:space="preserve"> DOCPROPERTY "DOCSDescription"</w:instrText>
                    </w:r>
                    <w:r>
                      <w:rPr/>
                      <w:fldChar w:fldCharType="separate"/>
                    </w:r>
                    <w:r>
                      <w:rPr/>
                      <w:t xml:space="preserve"> </w:t>
                    </w:r>
                    <w:r>
                      <w:rPr/>
                      <w:fldChar w:fldCharType="end"/>
                    </w:r>
                    <w:r>
                      <w:rPr/>
                      <w:t xml:space="preserve"> </w:t>
                    </w:r>
                    <w:r>
                      <w:rPr/>
                      <w:fldChar w:fldCharType="begin"/>
                    </w:r>
                    <w:r>
                      <w:rPr/>
                      <w:instrText xml:space="preserve"> DOCPROPERTY "Client Matter Number"</w:instrText>
                    </w:r>
                    <w:r>
                      <w:rPr/>
                      <w:fldChar w:fldCharType="separate"/>
                    </w:r>
                    <w:r>
                      <w:rPr/>
                    </w:r>
                    <w: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align>bottom</wp:align>
              </wp:positionV>
              <wp:extent cx="3018155" cy="548640"/>
              <wp:effectExtent l="0" t="0" r="0" b="0"/>
              <wp:wrapSquare wrapText="bothSides"/>
              <wp:docPr id="7" name="Frame6"/>
              <a:graphic xmlns:a="http://schemas.openxmlformats.org/drawingml/2006/main">
                <a:graphicData uri="http://schemas.microsoft.com/office/word/2010/wordprocessingShape">
                  <wps:wsp>
                    <wps:cNvSpPr txBox="1"/>
                    <wps:spPr>
                      <a:xfrm>
                        <a:off x="0" y="0"/>
                        <a:ext cx="3018155" cy="548640"/>
                      </a:xfrm>
                      <a:prstGeom prst="rect"/>
                      <a:solidFill>
                        <a:srgbClr val="FFFFFF">
                          <a:alpha val="0"/>
                        </a:srgbClr>
                      </a:solidFill>
                    </wps:spPr>
                    <wps:txbx>
                      <w:txbxContent>
                        <w:p>
                          <w:pPr>
                            <w:pStyle w:val="DateSTWC"/>
                            <w:rPr/>
                          </w:pPr>
                          <w:r>
                            <w:rPr/>
                            <w:fldChar w:fldCharType="begin"/>
                          </w:r>
                          <w:r>
                            <w:rPr/>
                            <w:instrText xml:space="preserve"> IF  "" ""</w:instrText>
                          </w:r>
                          <w:r>
                            <w:rPr/>
                            <w:fldChar w:fldCharType="separate"/>
                          </w:r>
                          <w:r>
                            <w:rPr/>
                          </w:r>
                          <w:r>
                            <w:rPr/>
                            <w:fldChar w:fldCharType="end"/>
                          </w:r>
                        </w:p>
                        <w:p>
                          <w:pPr>
                            <w:pStyle w:val="IDSTWC"/>
                            <w:rPr/>
                          </w:pPr>
                          <w:r>
                            <w:rPr/>
                            <w:fldChar w:fldCharType="begin"/>
                          </w:r>
                          <w:r>
                            <w:rPr/>
                            <w:instrText xml:space="preserve"> KEYWORDS </w:instrText>
                          </w:r>
                          <w:r>
                            <w:rPr/>
                            <w:fldChar w:fldCharType="separate"/>
                          </w:r>
                          <w:r>
                            <w:rPr/>
                            <w:t>losangeles 61523 v4</w:t>
                          </w:r>
                          <w:r>
                            <w:rPr/>
                            <w:fldChar w:fldCharType="end"/>
                          </w:r>
                          <w:r>
                            <w:rPr/>
                            <w:t xml:space="preserve">  </w:t>
                          </w:r>
                          <w:r>
                            <w:rPr/>
                            <w:fldChar w:fldCharType="begin"/>
                          </w:r>
                          <w:r>
                            <w:rPr/>
                            <w:instrText xml:space="preserve"> IF  "" ""</w:instrText>
                          </w:r>
                          <w:r>
                            <w:rPr/>
                            <w:fldChar w:fldCharType="separate"/>
                          </w:r>
                          <w:r>
                            <w:rPr/>
                          </w:r>
                          <w:r>
                            <w:rPr/>
                            <w:fldChar w:fldCharType="end"/>
                          </w:r>
                          <w:r>
                            <w:rPr/>
                            <w:fldChar w:fldCharType="begin"/>
                          </w:r>
                          <w:r>
                            <w:rPr/>
                            <w:instrText xml:space="preserve"> IF  "" ""</w:instrText>
                          </w:r>
                          <w:r>
                            <w:rPr/>
                            <w:fldChar w:fldCharType="separate"/>
                          </w:r>
                          <w:r>
                            <w:rPr/>
                          </w:r>
                          <w:r>
                            <w:rPr/>
                            <w:fldChar w:fldCharType="end"/>
                          </w:r>
                          <w:r>
                            <w:rPr/>
                            <w:fldChar w:fldCharType="begin"/>
                          </w:r>
                          <w:r>
                            <w:rPr/>
                            <w:instrText xml:space="preserve"> IF  "" ""</w:instrText>
                          </w:r>
                          <w:r>
                            <w:rPr/>
                            <w:fldChar w:fldCharType="separate"/>
                          </w:r>
                          <w:r>
                            <w:rPr/>
                          </w:r>
                          <w:r>
                            <w:rPr/>
                            <w:fldChar w:fldCharType="end"/>
                          </w:r>
                          <w:r>
                            <w:rPr/>
                            <w:t xml:space="preserve"> </w:t>
                          </w:r>
                        </w:p>
                        <w:p>
                          <w:pPr>
                            <w:pStyle w:val="LongDocNameWC"/>
                            <w:rPr/>
                          </w:pPr>
                          <w:r>
                            <w:rPr/>
                            <w:fldChar w:fldCharType="begin"/>
                          </w:r>
                          <w:r>
                            <w:rPr/>
                            <w:instrText xml:space="preserve"> DOCPROPERTY "DOCSDescription"</w:instrText>
                          </w:r>
                          <w:r>
                            <w:rPr/>
                            <w:fldChar w:fldCharType="separate"/>
                          </w:r>
                          <w:r>
                            <w:rPr/>
                            <w:t xml:space="preserve"> </w:t>
                          </w:r>
                          <w:r>
                            <w:rPr/>
                            <w:fldChar w:fldCharType="end"/>
                          </w:r>
                          <w:r>
                            <w:rPr/>
                            <w:t xml:space="preserve"> </w:t>
                          </w:r>
                          <w:r>
                            <w:rPr/>
                            <w:fldChar w:fldCharType="begin"/>
                          </w:r>
                          <w:r>
                            <w:rPr/>
                            <w:instrText xml:space="preserve"> DOCPROPERTY "Client Matter Number"</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yle="position:absolute;rotation:-0;width:237.65pt;height:43.2pt;mso-wrap-distance-left:0pt;mso-wrap-distance-right:0pt;mso-wrap-distance-top:0pt;mso-wrap-distance-bottom:0pt;margin-top:748.8pt;mso-position-vertical:bottom;mso-position-vertical-relative:page;margin-left:72.05pt;mso-position-horizontal-relative:page">
              <v:fill opacity="0f"/>
              <v:textbox inset="0in,0in,0in,0in">
                <w:txbxContent>
                  <w:p>
                    <w:pPr>
                      <w:pStyle w:val="DateSTWC"/>
                      <w:rPr/>
                    </w:pPr>
                    <w:r>
                      <w:rPr/>
                      <w:fldChar w:fldCharType="begin"/>
                    </w:r>
                    <w:r>
                      <w:rPr/>
                      <w:instrText xml:space="preserve"> IF  "" ""</w:instrText>
                    </w:r>
                    <w:r>
                      <w:rPr/>
                      <w:fldChar w:fldCharType="separate"/>
                    </w:r>
                    <w:r>
                      <w:rPr/>
                    </w:r>
                    <w:r>
                      <w:rPr/>
                      <w:fldChar w:fldCharType="end"/>
                    </w:r>
                  </w:p>
                  <w:p>
                    <w:pPr>
                      <w:pStyle w:val="IDSTWC"/>
                      <w:rPr/>
                    </w:pPr>
                    <w:r>
                      <w:rPr/>
                      <w:fldChar w:fldCharType="begin"/>
                    </w:r>
                    <w:r>
                      <w:rPr/>
                      <w:instrText xml:space="preserve"> KEYWORDS </w:instrText>
                    </w:r>
                    <w:r>
                      <w:rPr/>
                      <w:fldChar w:fldCharType="separate"/>
                    </w:r>
                    <w:r>
                      <w:rPr/>
                      <w:t>losangeles 61523 v4</w:t>
                    </w:r>
                    <w:r>
                      <w:rPr/>
                      <w:fldChar w:fldCharType="end"/>
                    </w:r>
                    <w:r>
                      <w:rPr/>
                      <w:t xml:space="preserve">  </w:t>
                    </w:r>
                    <w:r>
                      <w:rPr/>
                      <w:fldChar w:fldCharType="begin"/>
                    </w:r>
                    <w:r>
                      <w:rPr/>
                      <w:instrText xml:space="preserve"> IF  "" ""</w:instrText>
                    </w:r>
                    <w:r>
                      <w:rPr/>
                      <w:fldChar w:fldCharType="separate"/>
                    </w:r>
                    <w:r>
                      <w:rPr/>
                    </w:r>
                    <w:r>
                      <w:rPr/>
                      <w:fldChar w:fldCharType="end"/>
                    </w:r>
                    <w:r>
                      <w:rPr/>
                      <w:fldChar w:fldCharType="begin"/>
                    </w:r>
                    <w:r>
                      <w:rPr/>
                      <w:instrText xml:space="preserve"> IF  "" ""</w:instrText>
                    </w:r>
                    <w:r>
                      <w:rPr/>
                      <w:fldChar w:fldCharType="separate"/>
                    </w:r>
                    <w:r>
                      <w:rPr/>
                    </w:r>
                    <w:r>
                      <w:rPr/>
                      <w:fldChar w:fldCharType="end"/>
                    </w:r>
                    <w:r>
                      <w:rPr/>
                      <w:fldChar w:fldCharType="begin"/>
                    </w:r>
                    <w:r>
                      <w:rPr/>
                      <w:instrText xml:space="preserve"> IF  "" ""</w:instrText>
                    </w:r>
                    <w:r>
                      <w:rPr/>
                      <w:fldChar w:fldCharType="separate"/>
                    </w:r>
                    <w:r>
                      <w:rPr/>
                    </w:r>
                    <w:r>
                      <w:rPr/>
                      <w:fldChar w:fldCharType="end"/>
                    </w:r>
                    <w:r>
                      <w:rPr/>
                      <w:t xml:space="preserve"> </w:t>
                    </w:r>
                  </w:p>
                  <w:p>
                    <w:pPr>
                      <w:pStyle w:val="LongDocNameWC"/>
                      <w:rPr/>
                    </w:pPr>
                    <w:r>
                      <w:rPr/>
                      <w:fldChar w:fldCharType="begin"/>
                    </w:r>
                    <w:r>
                      <w:rPr/>
                      <w:instrText xml:space="preserve"> DOCPROPERTY "DOCSDescription"</w:instrText>
                    </w:r>
                    <w:r>
                      <w:rPr/>
                      <w:fldChar w:fldCharType="separate"/>
                    </w:r>
                    <w:r>
                      <w:rPr/>
                      <w:t xml:space="preserve"> </w:t>
                    </w:r>
                    <w:r>
                      <w:rPr/>
                      <w:fldChar w:fldCharType="end"/>
                    </w:r>
                    <w:r>
                      <w:rPr/>
                      <w:t xml:space="preserve"> </w:t>
                    </w:r>
                    <w:r>
                      <w:rPr/>
                      <w:fldChar w:fldCharType="begin"/>
                    </w:r>
                    <w:r>
                      <w:rPr/>
                      <w:instrText xml:space="preserve"> DOCPROPERTY "Client Matter Number"</w:instrText>
                    </w:r>
                    <w:r>
                      <w:rPr/>
                      <w:fldChar w:fldCharType="separate"/>
                    </w:r>
                    <w:r>
                      <w:rPr/>
                    </w:r>
                    <w: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432" w:start="432" w:end="0"/>
        <w:rPr/>
      </w:pPr>
      <w:r>
        <w:rPr>
          <w:rStyle w:val="FootnoteCharacters"/>
        </w:rPr>
        <w:footnoteRef/>
      </w:r>
      <w:r>
        <w:rPr/>
        <w:tab/>
      </w:r>
      <w:r>
        <w:rPr>
          <w:sz w:val="28"/>
          <w:szCs w:val="28"/>
        </w:rPr>
        <w:t>The Appellant’s Opening Brief will be abbreviated “AOB.”  The Excerpts of Record will be abbreviated as “ER” and Sierra Pacific Supplemental Excerpts of Record will be abbreviated as “SER”.</w:t>
      </w:r>
    </w:p>
  </w:footnote>
  <w:footnote w:id="3">
    <w:p>
      <w:pPr>
        <w:pStyle w:val="FootnoteText"/>
        <w:spacing w:before="0" w:after="240"/>
        <w:ind w:hanging="432" w:start="432" w:end="0"/>
        <w:rPr/>
      </w:pPr>
      <w:r>
        <w:rPr>
          <w:rStyle w:val="FootnoteCharacters"/>
        </w:rPr>
        <w:footnoteRef/>
      </w:r>
      <w:r>
        <w:rPr>
          <w:sz w:val="28"/>
          <w:szCs w:val="28"/>
        </w:rPr>
        <w:tab/>
        <w:t>Filed herewith.</w:t>
      </w:r>
    </w:p>
  </w:footnote>
  <w:footnote w:id="4">
    <w:p>
      <w:pPr>
        <w:pStyle w:val="FootnoteText"/>
        <w:spacing w:before="0" w:after="240"/>
        <w:ind w:hanging="432" w:start="432" w:end="0"/>
        <w:rPr/>
      </w:pPr>
      <w:r>
        <w:rPr>
          <w:rStyle w:val="FootnoteCharacters"/>
        </w:rPr>
        <w:footnoteRef/>
      </w:r>
      <w:r>
        <w:rPr/>
        <w:tab/>
      </w:r>
      <w:r>
        <w:rPr>
          <w:sz w:val="28"/>
          <w:szCs w:val="28"/>
        </w:rPr>
        <w:t xml:space="preserve">It is immaterial that some preemption cases involve the Natural Gas Act rather than the Federal Power Act.  Because the two Acts “are in all material respects substantively identical,” the courts follow “the established practice of citing interchangeably decisions interpreting the pertinent sections of the two statutes.”  </w:t>
      </w:r>
      <w:r>
        <w:rPr>
          <w:sz w:val="28"/>
          <w:szCs w:val="28"/>
          <w:u w:val="single"/>
        </w:rPr>
        <w:t>Arkansas Louisiana Gas Co v. Hall</w:t>
      </w:r>
      <w:r>
        <w:rPr>
          <w:sz w:val="28"/>
          <w:szCs w:val="28"/>
        </w:rPr>
        <w:t>, 453 U.S. 571 at 577 n. 7.</w:t>
      </w:r>
    </w:p>
  </w:footnote>
  <w:footnote w:id="5">
    <w:p>
      <w:pPr>
        <w:pStyle w:val="FootnoteText"/>
        <w:spacing w:before="0" w:after="240"/>
        <w:ind w:hanging="432" w:start="432" w:end="0"/>
        <w:rPr/>
      </w:pPr>
      <w:r>
        <w:rPr>
          <w:rStyle w:val="FootnoteCharacters"/>
        </w:rPr>
        <w:footnoteRef/>
      </w:r>
      <w:r>
        <w:rPr>
          <w:sz w:val="28"/>
          <w:szCs w:val="28"/>
        </w:rPr>
        <w:t xml:space="preserve"> </w:t>
      </w:r>
      <w:r>
        <w:rPr>
          <w:sz w:val="28"/>
          <w:szCs w:val="28"/>
        </w:rPr>
        <w:tab/>
        <w:t xml:space="preserve">There is no question that both the Northwest AC Intertie and the Alturas Intertie operate in interstate commerce. Under the Federal Power Act, a transmission facility operates in interstate commerce when electric energy flowing over the facility is consumed in another state. </w:t>
      </w:r>
      <w:r>
        <w:rPr>
          <w:sz w:val="28"/>
          <w:szCs w:val="28"/>
          <w:u w:val="single"/>
        </w:rPr>
        <w:t>See</w:t>
      </w:r>
      <w:r>
        <w:rPr>
          <w:sz w:val="28"/>
          <w:szCs w:val="28"/>
        </w:rPr>
        <w:t xml:space="preserve"> 16 U.S.C. § 824(c) (1994). As established by the United States Supreme Court, the statutory test is met whenever electric energy flowing over a facility is </w:t>
      </w:r>
      <w:r>
        <w:rPr>
          <w:i/>
          <w:iCs/>
          <w:sz w:val="28"/>
          <w:szCs w:val="28"/>
        </w:rPr>
        <w:t>potentially</w:t>
      </w:r>
      <w:r>
        <w:rPr>
          <w:sz w:val="28"/>
          <w:szCs w:val="28"/>
        </w:rPr>
        <w:t xml:space="preserve"> consumed in another state. </w:t>
      </w:r>
      <w:r>
        <w:rPr>
          <w:sz w:val="28"/>
          <w:szCs w:val="28"/>
          <w:u w:val="single"/>
        </w:rPr>
        <w:t>See</w:t>
      </w:r>
      <w:r>
        <w:rPr>
          <w:sz w:val="28"/>
          <w:szCs w:val="28"/>
        </w:rPr>
        <w:t xml:space="preserve"> </w:t>
      </w:r>
      <w:r>
        <w:rPr>
          <w:sz w:val="28"/>
          <w:szCs w:val="28"/>
          <w:u w:val="single"/>
        </w:rPr>
        <w:t>FPC v. Florida Power &amp; Light Co.</w:t>
      </w:r>
      <w:r>
        <w:rPr>
          <w:sz w:val="28"/>
          <w:szCs w:val="28"/>
        </w:rPr>
        <w:t xml:space="preserve">, 404 U.S. 453, 463 (1972); </w:t>
      </w:r>
      <w:r>
        <w:rPr>
          <w:sz w:val="28"/>
          <w:szCs w:val="28"/>
          <w:u w:val="single"/>
        </w:rPr>
        <w:t>see also</w:t>
      </w:r>
      <w:r>
        <w:rPr>
          <w:sz w:val="28"/>
          <w:szCs w:val="28"/>
        </w:rPr>
        <w:t xml:space="preserve"> </w:t>
      </w:r>
      <w:r>
        <w:rPr>
          <w:sz w:val="28"/>
          <w:szCs w:val="28"/>
          <w:u w:val="single"/>
        </w:rPr>
        <w:t>People’s Electric Coop.</w:t>
      </w:r>
      <w:r>
        <w:rPr>
          <w:sz w:val="28"/>
          <w:szCs w:val="28"/>
        </w:rPr>
        <w:t xml:space="preserve">, 84 FERC ¶ 61,229 at ___ (1998). As a result, only a very narrow subset of transmission facilities do not operate in interstate commerce. </w:t>
      </w:r>
    </w:p>
  </w:footnote>
  <w:footnote w:id="6">
    <w:p>
      <w:pPr>
        <w:pStyle w:val="FootnoteText"/>
        <w:spacing w:before="0" w:after="240"/>
        <w:ind w:hanging="432" w:start="432" w:end="0"/>
        <w:rPr/>
      </w:pPr>
      <w:r>
        <w:rPr>
          <w:rStyle w:val="FootnoteCharacters"/>
        </w:rPr>
        <w:footnoteRef/>
      </w:r>
      <w:r>
        <w:rPr>
          <w:sz w:val="28"/>
          <w:szCs w:val="28"/>
        </w:rPr>
        <w:tab/>
        <w:t>As shown at page 7, above, the actual reduction in TANC’s transmission capacity has been non-existent even during California’s worst power shortage in history.  In the future, TANC should reserve power if it believes that its capacity will ever be a problem.</w:t>
      </w:r>
    </w:p>
  </w:footnote>
  <w:footnote w:id="7">
    <w:p>
      <w:pPr>
        <w:pStyle w:val="FootnoteText"/>
        <w:spacing w:before="0" w:after="240"/>
        <w:ind w:hanging="432" w:start="432" w:end="0"/>
        <w:rPr/>
      </w:pPr>
      <w:r>
        <w:rPr>
          <w:rStyle w:val="FootnoteCharacters"/>
        </w:rPr>
        <w:footnoteRef/>
      </w:r>
      <w:r>
        <w:rPr/>
        <w:tab/>
      </w:r>
      <w:r>
        <w:rPr>
          <w:sz w:val="28"/>
          <w:szCs w:val="28"/>
          <w:u w:val="single"/>
        </w:rPr>
        <w:t>City of Burbank v. Lockheed Air Terminal</w:t>
      </w:r>
      <w:r>
        <w:rPr>
          <w:sz w:val="28"/>
          <w:szCs w:val="28"/>
        </w:rPr>
        <w:t xml:space="preserve">, 411 U.S. 624 (1973), which TANC cites for the proposition that aviation matters are subject to tight federal regulation is fully consistent with </w:t>
      </w:r>
      <w:r>
        <w:rPr>
          <w:sz w:val="28"/>
          <w:szCs w:val="28"/>
          <w:u w:val="single"/>
        </w:rPr>
        <w:t>Greater Westchester</w:t>
      </w:r>
      <w:r>
        <w:rPr>
          <w:sz w:val="28"/>
          <w:szCs w:val="28"/>
        </w:rPr>
        <w:t xml:space="preserve"> [AOB 32-33].  In </w:t>
      </w:r>
      <w:r>
        <w:rPr>
          <w:sz w:val="28"/>
          <w:szCs w:val="28"/>
          <w:u w:val="single"/>
        </w:rPr>
        <w:t>City of Burbank</w:t>
      </w:r>
      <w:r>
        <w:rPr>
          <w:sz w:val="28"/>
          <w:szCs w:val="28"/>
        </w:rPr>
        <w:t xml:space="preserve">, the Court invalidated an attempt by the city to limit aircraft traffic in a way that would interfere with federal oversight of air traffic throughout the nation.  </w:t>
      </w:r>
      <w:r>
        <w:rPr>
          <w:sz w:val="28"/>
          <w:szCs w:val="28"/>
          <w:u w:val="single"/>
        </w:rPr>
        <w:t>See</w:t>
      </w:r>
      <w:r>
        <w:rPr>
          <w:sz w:val="28"/>
          <w:szCs w:val="28"/>
        </w:rPr>
        <w:t xml:space="preserve"> 411 U.S. at 639-40.  In contrast, in </w:t>
      </w:r>
      <w:r>
        <w:rPr>
          <w:sz w:val="28"/>
          <w:szCs w:val="28"/>
          <w:u w:val="single"/>
        </w:rPr>
        <w:t>Greater Westchester</w:t>
      </w:r>
      <w:r>
        <w:rPr>
          <w:sz w:val="28"/>
          <w:szCs w:val="28"/>
        </w:rPr>
        <w:t>, there was no conflict with the federal scheme.</w:t>
      </w:r>
    </w:p>
  </w:footnote>
  <w:footnote w:id="8">
    <w:p>
      <w:pPr>
        <w:pStyle w:val="FootnoteText"/>
        <w:spacing w:before="0" w:after="240"/>
        <w:ind w:hanging="432" w:start="432" w:end="0"/>
        <w:rPr/>
      </w:pPr>
      <w:r>
        <w:rPr>
          <w:rStyle w:val="FootnoteCharacters"/>
        </w:rPr>
        <w:footnoteRef/>
      </w:r>
      <w:r>
        <w:rPr>
          <w:sz w:val="28"/>
          <w:szCs w:val="28"/>
        </w:rPr>
        <w:tab/>
        <w:t xml:space="preserve">TANC’s use of the term “capacity” is itself misleading. The court in </w:t>
      </w:r>
      <w:r>
        <w:rPr>
          <w:sz w:val="28"/>
          <w:szCs w:val="28"/>
          <w:u w:val="single"/>
        </w:rPr>
        <w:t>Gulf States</w:t>
      </w:r>
      <w:r>
        <w:rPr>
          <w:sz w:val="28"/>
          <w:szCs w:val="28"/>
        </w:rPr>
        <w:t xml:space="preserve"> did not permit a state law action to define rights to </w:t>
      </w:r>
      <w:r>
        <w:rPr>
          <w:sz w:val="28"/>
          <w:szCs w:val="28"/>
          <w:u w:val="single"/>
        </w:rPr>
        <w:t>transmission</w:t>
      </w:r>
      <w:r>
        <w:rPr>
          <w:sz w:val="28"/>
          <w:szCs w:val="28"/>
        </w:rPr>
        <w:t xml:space="preserve"> capacity; the court merely permitted a state law action to adjudicate whether the defendant negotiated in good faith on the amount of power to be sold under the contract. </w:t>
      </w:r>
      <w:r>
        <w:rPr>
          <w:sz w:val="28"/>
          <w:szCs w:val="28"/>
          <w:u w:val="single"/>
        </w:rPr>
        <w:t>See</w:t>
      </w:r>
      <w:r>
        <w:rPr>
          <w:sz w:val="28"/>
          <w:szCs w:val="28"/>
        </w:rPr>
        <w:t xml:space="preserve"> [CITE].</w:t>
      </w:r>
    </w:p>
  </w:footnote>
  <w:footnote w:id="9">
    <w:p>
      <w:pPr>
        <w:pStyle w:val="FootnoteText"/>
        <w:spacing w:before="0" w:after="240"/>
        <w:ind w:hanging="432" w:start="432" w:end="0"/>
        <w:rPr/>
      </w:pPr>
      <w:r>
        <w:rPr>
          <w:rStyle w:val="FootnoteCharacters"/>
        </w:rPr>
        <w:footnoteRef/>
      </w:r>
      <w:r>
        <w:rPr>
          <w:sz w:val="28"/>
          <w:szCs w:val="28"/>
        </w:rPr>
        <w:tab/>
        <w:t xml:space="preserve">TANC also misuses </w:t>
      </w:r>
      <w:r>
        <w:rPr>
          <w:sz w:val="28"/>
          <w:szCs w:val="28"/>
          <w:u w:val="single"/>
        </w:rPr>
        <w:t>Gulf States</w:t>
      </w:r>
      <w:r>
        <w:rPr>
          <w:sz w:val="28"/>
          <w:szCs w:val="28"/>
        </w:rPr>
        <w:t xml:space="preserve"> in attempting to undermine the District Court’s reliance on the pending FERC proceeding. </w:t>
      </w:r>
      <w:r>
        <w:rPr>
          <w:sz w:val="28"/>
          <w:szCs w:val="28"/>
          <w:u w:val="single"/>
        </w:rPr>
        <w:t>See</w:t>
      </w:r>
      <w:r>
        <w:rPr>
          <w:sz w:val="28"/>
          <w:szCs w:val="28"/>
        </w:rPr>
        <w:t xml:space="preserve"> AOB 46 (“findings by an Administrative Law Judge do not require the dismissal or even a stay of this action”). In </w:t>
      </w:r>
      <w:r>
        <w:rPr>
          <w:sz w:val="28"/>
          <w:szCs w:val="28"/>
          <w:u w:val="single"/>
        </w:rPr>
        <w:t>Gulf States</w:t>
      </w:r>
      <w:r>
        <w:rPr>
          <w:sz w:val="28"/>
          <w:szCs w:val="28"/>
        </w:rPr>
        <w:t xml:space="preserve">, the court referred to a pending FERC action in discussing whether the district court should defer resolution of the state law claim on grounds of primary jurisdiction, after already finding that the district court’s adjudication of that state law claim was not preempted. </w:t>
      </w:r>
      <w:r>
        <w:rPr>
          <w:sz w:val="28"/>
          <w:szCs w:val="28"/>
          <w:u w:val="single"/>
        </w:rPr>
        <w:t>See</w:t>
      </w:r>
      <w:r>
        <w:rPr>
          <w:sz w:val="28"/>
          <w:szCs w:val="28"/>
        </w:rPr>
        <w:t xml:space="preserve"> __ F.2d at __.  The court found that the pending FERC action was not dispositive on issues before the district court, such that the district court did not need to defer to findings in that FERC action. </w:t>
      </w:r>
      <w:r>
        <w:rPr>
          <w:sz w:val="28"/>
          <w:szCs w:val="28"/>
          <w:u w:val="single"/>
        </w:rPr>
        <w:t>Id.</w:t>
      </w:r>
      <w:r>
        <w:rPr>
          <w:sz w:val="28"/>
          <w:szCs w:val="28"/>
        </w:rPr>
        <w:t xml:space="preserve"> at ___.  In contrast here, nothing can save TANC’s claims from preemption.</w:t>
      </w:r>
    </w:p>
  </w:footnote>
  <w:footnote w:id="10">
    <w:p>
      <w:pPr>
        <w:pStyle w:val="FootnoteText"/>
        <w:spacing w:before="0" w:after="240"/>
        <w:ind w:hanging="432" w:start="432" w:end="0"/>
        <w:rPr/>
      </w:pPr>
      <w:r>
        <w:rPr>
          <w:rStyle w:val="FootnoteCharacters"/>
        </w:rPr>
        <w:footnoteRef/>
      </w:r>
      <w:r>
        <w:rPr>
          <w:sz w:val="28"/>
          <w:szCs w:val="28"/>
        </w:rPr>
        <w:tab/>
        <w:t>Pub. L. No. 102-486, 106 Stat. 2776 (1992), codified as Section 211 of the Federal Power Act, 42 U.S.C. §§ 13201-13556 (1994).</w:t>
      </w:r>
    </w:p>
  </w:footnote>
  <w:footnote w:id="11">
    <w:p>
      <w:pPr>
        <w:pStyle w:val="FootnoteText"/>
        <w:spacing w:before="0" w:after="240"/>
        <w:ind w:hanging="432" w:start="432" w:end="0"/>
        <w:rPr/>
      </w:pPr>
      <w:r>
        <w:rPr>
          <w:rStyle w:val="FootnoteCharacters"/>
        </w:rPr>
        <w:footnoteRef/>
      </w:r>
      <w:r>
        <w:rPr>
          <w:sz w:val="28"/>
          <w:szCs w:val="28"/>
        </w:rPr>
        <w:tab/>
        <w:t>Order 888 requires utilities to:  (1) file open-access nondiscriminatory tariffs that contain the minimum terms and conditions of nondiscriminatory services prescribed by FERC through its pro forma tariff; (2) take transmission service for their own new wholesale sales and purchases of electric energy under the same terms and conditions as they offer that service to others; (3) develop and ,maintain a same-time information system that will give potential and existing transmission users the same access to transmission information that the utility enjoys; and (4) state separate rates for wholesale generation, transmission, and ancillary services.  [Order 888 at 31, 635-36.]</w:t>
      </w:r>
    </w:p>
  </w:footnote>
  <w:footnote w:id="12">
    <w:p>
      <w:pPr>
        <w:pStyle w:val="FootnoteText"/>
        <w:rPr/>
      </w:pPr>
      <w:r>
        <w:rPr>
          <w:rStyle w:val="FootnoteCharacters"/>
        </w:rPr>
        <w:footnoteRef/>
      </w:r>
      <w:r>
        <w:rPr/>
        <w:tab/>
        <w:t>TANC’s state law claim of intentional misrepresentation also warrants dismissal without leaving further avenues for TANC to pursue that claim.  TANC suggests that state regulators approved the Alturas Intertie only because they were mislead into thinking that the facility would be limited to non</w:t>
        <w:noBreakHyphen/>
        <w:t xml:space="preserve">firm use.  [CITE]  In fact, in light of exclusive federal jurisdiction over electric transmission services, state regulators </w:t>
      </w:r>
      <w:r>
        <w:rPr>
          <w:i/>
          <w:iCs/>
        </w:rPr>
        <w:t>could not</w:t>
      </w:r>
      <w:r>
        <w:rPr/>
        <w:t xml:space="preserve"> have conditioned their approval of the Alturas Intertie on non</w:t>
        <w:noBreakHyphen/>
        <w:t>firm use.  For example, California regulators could not have prevented Nevada customers from reaching firm resources.  Thus, the states’ inquiry was merely whether planned uses of the facility were too speculative to warrant investment.  [CITE].  Because there could have been no material representation about limiting use of the Alturas Intertie, there can be no actionable “misrepresentation,” even putting aside the myriad of other flaws in TANC’s claim.</w:t>
      </w:r>
    </w:p>
    <w:p>
      <w:pPr>
        <w:pStyle w:val="FootnoteText"/>
        <w:spacing w:before="0" w:after="240"/>
        <w:ind w:hanging="432" w:start="432" w:end="0"/>
        <w:rPr/>
      </w:pPr>
      <w:r>
        <w:rPr/>
        <w:tab/>
        <w:t>It is instructive that TANC has avoided going to the state regulators on this issue, even though the state regulators are in the best position to know the basis for their approvals and whether there was any misrepresentation.  Rather than allowing TANC to proceed further on this fabricated claim, the court should affirm dismissal of that claim as merely a disguised and impermissible attempt to affect the allocation of transmission services in interstate commerce.</w:t>
      </w:r>
    </w:p>
  </w:footnote>
  <w:footnote w:id="13">
    <w:p>
      <w:pPr>
        <w:pStyle w:val="FootnoteText"/>
        <w:spacing w:before="0" w:after="240"/>
        <w:ind w:hanging="432" w:start="432" w:end="0"/>
        <w:rPr/>
      </w:pPr>
      <w:r>
        <w:rPr>
          <w:rStyle w:val="FootnoteCharacters"/>
        </w:rPr>
        <w:footnoteRef/>
      </w:r>
      <w:r>
        <w:rPr/>
        <w:tab/>
        <w:t>In attempting to come up with a 4800 MW figure, TANC refers to section 6 of the Coordination Agreement, which discusses principles for negotiation of a long</w:t>
        <w:noBreakHyphen/>
        <w:t xml:space="preserve">term interconnection agreement that was never executed.  </w:t>
      </w:r>
      <w:r>
        <w:rPr>
          <w:u w:val="single"/>
        </w:rPr>
        <w:t>See</w:t>
      </w:r>
      <w:r>
        <w:rPr/>
        <w:t xml:space="preserve"> </w:t>
      </w:r>
      <w:r>
        <w:rPr>
          <w:u w:val="single"/>
        </w:rPr>
        <w:t>id.</w:t>
      </w:r>
      <w:r>
        <w:rPr/>
        <w:t xml:space="preserve"> at 11 [ER 132]  The relevant provision, which TANC does not cite, is section __ of the Interim Interconnection Agreement, which requires the parties to maintain only the capability specified in section 10.3 of that agreement.  [ER __]  Section 10.3 creates an obligation to maintain only 800 MW of capability for transfers to California.  [ER __]  As provided in section 21, that obligation is the only dedication of the parties’ facilities flowing from the agreement.  [ER __]</w:t>
      </w:r>
    </w:p>
  </w:footnote>
  <w:footnote w:id="14">
    <w:p>
      <w:pPr>
        <w:pStyle w:val="FootnoteText"/>
        <w:spacing w:before="0" w:after="240"/>
        <w:ind w:hanging="432" w:start="432" w:end="0"/>
        <w:rPr/>
      </w:pPr>
      <w:r>
        <w:rPr>
          <w:rStyle w:val="FootnoteCharacters"/>
        </w:rPr>
        <w:footnoteRef/>
      </w:r>
      <w:r>
        <w:rPr/>
        <w:tab/>
      </w:r>
      <w:r>
        <w:rPr>
          <w:sz w:val="28"/>
          <w:szCs w:val="28"/>
        </w:rPr>
        <w:t xml:space="preserve">Rate regulation of FERC-regulated utilities derives from section 205 and 206 of the Federal Power Act, 16 U.S.C. §§ 824d-e.  Pursuant to the Pacific Northwest Electric Power Planning and Conservation Act, 16 U.S.C. §§ 839-839h, rate regulation of Bonneville, however, is limited only to review of rate determinations for non-Federal power.  </w:t>
      </w:r>
      <w:r>
        <w:rPr>
          <w:sz w:val="28"/>
          <w:szCs w:val="28"/>
          <w:u w:val="single"/>
        </w:rPr>
        <w:t>See</w:t>
      </w:r>
      <w:r>
        <w:rPr>
          <w:sz w:val="28"/>
          <w:szCs w:val="28"/>
        </w:rPr>
        <w:t xml:space="preserve"> 16 U.S.C. § 839e; </w:t>
      </w:r>
      <w:r>
        <w:rPr>
          <w:sz w:val="28"/>
          <w:szCs w:val="28"/>
          <w:u w:val="single"/>
        </w:rPr>
        <w:t>see also</w:t>
      </w:r>
      <w:r>
        <w:rPr>
          <w:sz w:val="28"/>
          <w:szCs w:val="28"/>
        </w:rPr>
        <w:t xml:space="preserve"> </w:t>
      </w:r>
      <w:r>
        <w:rPr>
          <w:sz w:val="28"/>
          <w:szCs w:val="28"/>
          <w:u w:val="single"/>
        </w:rPr>
        <w:t>City of Seattle v. FERC</w:t>
      </w:r>
      <w:r>
        <w:rPr>
          <w:sz w:val="28"/>
          <w:szCs w:val="28"/>
        </w:rPr>
        <w:t>, 923 F.2d 713, 718 (1991).</w:t>
      </w:r>
    </w:p>
  </w:footnote>
  <w:footnote w:id="15">
    <w:p>
      <w:pPr>
        <w:pStyle w:val="FootnoteText"/>
        <w:spacing w:before="0" w:after="240"/>
        <w:ind w:hanging="432" w:start="432" w:end="0"/>
        <w:rPr/>
      </w:pPr>
      <w:r>
        <w:rPr>
          <w:rStyle w:val="FootnoteCharacters"/>
        </w:rPr>
        <w:footnoteRef/>
      </w:r>
      <w:r>
        <w:rPr/>
        <w:tab/>
      </w:r>
      <w:r>
        <w:rPr>
          <w:sz w:val="28"/>
          <w:szCs w:val="28"/>
        </w:rPr>
        <w:t xml:space="preserve">The administrative law judge concluded that interconnection and operation of appellees’ facilities causes no undue power flows on other facilities.  [Initial Decision at 17].  TANC has not challenged that conclusion but, instead, asserts that interconnection and operation of appellees’ facilities has the same effect as undue power flows.  [CITE]  As with TANC’s claims about reduced capacity, that nuance is not reflected in TANC’s statements in this proceeding.  TANC’s state law claims of trespass, nuisance (for physical invasion onto the COTP of electrical current) and conversion (for converting the capacity of the COTP) are all based on an assertion that the Alturas Intertie causes undue power flows.  [CITE]  As with TANC’s claims about reduced capacity, this matter cannot be revisited, under the doctrine of </w:t>
      </w:r>
      <w:r>
        <w:rPr>
          <w:i/>
          <w:iCs/>
          <w:sz w:val="28"/>
          <w:szCs w:val="28"/>
        </w:rPr>
        <w:t>res judicata</w:t>
      </w:r>
      <w:r>
        <w:rPr>
          <w:sz w:val="28"/>
          <w:szCs w:val="28"/>
        </w:rPr>
        <w:t>, in light of the FERC administrative law judge’s unchallenged conclusion.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eastAsia="Arial" w:cs="Arial"/>
      <w:b/>
      <w:bCs/>
      <w:kern w:val="2"/>
      <w:sz w:val="28"/>
      <w:szCs w:val="28"/>
    </w:rPr>
  </w:style>
  <w:style w:type="paragraph" w:styleId="Heading2">
    <w:name w:val="heading 2"/>
    <w:basedOn w:val="Normal"/>
    <w:next w:val="Normal"/>
    <w:qFormat/>
    <w:pPr>
      <w:keepNext w:val="true"/>
      <w:numPr>
        <w:ilvl w:val="1"/>
        <w:numId w:val="1"/>
      </w:numPr>
      <w:spacing w:before="240" w:after="60"/>
      <w:outlineLvl w:val="1"/>
    </w:pPr>
    <w:rPr>
      <w:rFonts w:ascii="Arial" w:hAnsi="Arial" w:eastAsia="Arial" w:cs="Arial"/>
      <w:b/>
      <w:bCs/>
      <w:i/>
      <w:iCs/>
    </w:rPr>
  </w:style>
  <w:style w:type="paragraph" w:styleId="Heading3">
    <w:name w:val="heading 3"/>
    <w:basedOn w:val="Normal"/>
    <w:next w:val="Normal"/>
    <w:qFormat/>
    <w:pPr>
      <w:keepNext w:val="true"/>
      <w:numPr>
        <w:ilvl w:val="2"/>
        <w:numId w:val="1"/>
      </w:numPr>
      <w:spacing w:before="240" w:after="60"/>
      <w:outlineLvl w:val="2"/>
    </w:pPr>
    <w:rPr>
      <w:rFonts w:ascii="Arial" w:hAnsi="Arial" w:eastAsia="Arial" w:cs="Arial"/>
    </w:rPr>
  </w:style>
  <w:style w:type="character" w:styleId="DefaultParagraphFont">
    <w:name w:val="Default Paragraph Font"/>
    <w:qFormat/>
    <w:rPr/>
  </w:style>
  <w:style w:type="character" w:styleId="PageNumber">
    <w:name w:val="page number"/>
    <w:basedOn w:val="DefaultParagraphFont"/>
    <w:rPr/>
  </w:style>
  <w:style w:type="character" w:styleId="EndnoteCharacters">
    <w:name w:val="Endnote Characters"/>
    <w:basedOn w:val="DefaultParagraphFont"/>
    <w:qFormat/>
    <w:rPr>
      <w:color w:val="auto"/>
      <w:spacing w:val="0"/>
      <w:kern w:val="0"/>
      <w:sz w:val="24"/>
      <w:szCs w:val="24"/>
      <w:u w:val="none"/>
      <w:vertAlign w:val="superscript"/>
    </w:rPr>
  </w:style>
  <w:style w:type="character" w:styleId="FootnoteCharacters">
    <w:name w:val="Footnote Characters"/>
    <w:basedOn w:val="DefaultParagraphFont"/>
    <w:qFormat/>
    <w:rPr>
      <w:color w:val="auto"/>
      <w:spacing w:val="0"/>
      <w:kern w:val="0"/>
      <w:sz w:val="24"/>
      <w:szCs w:val="24"/>
      <w:u w:val="none"/>
      <w:vertAlign w:val="superscript"/>
    </w:rPr>
  </w:style>
  <w:style w:type="character" w:styleId="CharBaseArial">
    <w:name w:val="CharBaseArial"/>
    <w:qFormat/>
    <w:rPr>
      <w:rFonts w:ascii="Arial" w:hAnsi="Arial" w:eastAsia="Arial" w:cs="Arial"/>
      <w:sz w:val="24"/>
      <w:szCs w:val="24"/>
      <w:lang w:val="en-US"/>
    </w:rPr>
  </w:style>
  <w:style w:type="character" w:styleId="CharBaseTimes">
    <w:name w:val="CharBaseTimes"/>
    <w:qFormat/>
    <w:rPr>
      <w:rFonts w:ascii="Times New Roman" w:hAnsi="Times New Roman" w:eastAsia="Times New Roman" w:cs="Times New Roman"/>
      <w:sz w:val="24"/>
      <w:szCs w:val="24"/>
      <w:lang w:val="en-US"/>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seTimes">
    <w:name w:val="BaseTimes"/>
    <w:qFormat/>
    <w:pPr>
      <w:widowControl/>
      <w:bidi w:val="0"/>
    </w:pPr>
    <w:rPr>
      <w:rFonts w:ascii="Times New Roman" w:hAnsi="Times New Roman" w:eastAsia="Times New Roman" w:cs="Times New Roman"/>
      <w:color w:val="auto"/>
      <w:sz w:val="24"/>
      <w:szCs w:val="24"/>
      <w:lang w:val="en-US" w:eastAsia="zh-CN" w:bidi="hi-IN"/>
    </w:rPr>
  </w:style>
  <w:style w:type="paragraph" w:styleId="FootnoteText">
    <w:name w:val="footnote text"/>
    <w:basedOn w:val="BaseTimes"/>
    <w:pPr>
      <w:tabs>
        <w:tab w:val="clear" w:pos="720"/>
        <w:tab w:val="left" w:pos="432" w:leader="none"/>
      </w:tabs>
      <w:spacing w:before="0" w:after="240"/>
      <w:ind w:hanging="432" w:start="432" w:end="0"/>
    </w:pPr>
    <w:rPr/>
  </w:style>
  <w:style w:type="paragraph" w:styleId="DraftLineWC">
    <w:name w:val="DraftLineW&amp;C"/>
    <w:basedOn w:val="BaseTimes"/>
    <w:qFormat/>
    <w:pPr>
      <w:spacing w:before="0" w:after="240"/>
      <w:ind w:firstLine="720" w:start="0" w:end="0"/>
      <w:jc w:val="end"/>
    </w:pPr>
    <w:rPr>
      <w:sz w:val="20"/>
      <w:szCs w:val="20"/>
    </w:rPr>
  </w:style>
  <w:style w:type="paragraph" w:styleId="EndnoteText">
    <w:name w:val="endnote text"/>
    <w:basedOn w:val="BaseTimes"/>
    <w:pPr>
      <w:tabs>
        <w:tab w:val="clear" w:pos="720"/>
        <w:tab w:val="left" w:pos="432" w:leader="none"/>
      </w:tabs>
      <w:spacing w:before="0" w:after="240"/>
      <w:ind w:hanging="432" w:start="432" w:end="0"/>
    </w:pPr>
    <w:rPr/>
  </w:style>
  <w:style w:type="paragraph" w:styleId="Index1">
    <w:name w:val="index 1"/>
    <w:basedOn w:val="Normal"/>
    <w:next w:val="Normal"/>
    <w:pPr>
      <w:tabs>
        <w:tab w:val="clear" w:pos="720"/>
        <w:tab w:val="right" w:pos="9360" w:leader="dot"/>
      </w:tabs>
      <w:ind w:hanging="240" w:start="240" w:end="0"/>
    </w:pPr>
    <w:rPr/>
  </w:style>
  <w:style w:type="paragraph" w:styleId="Text">
    <w:name w:val="Text"/>
    <w:basedOn w:val="BaseTimes"/>
    <w:qFormat/>
    <w:pPr>
      <w:spacing w:before="120" w:after="120"/>
      <w:ind w:firstLine="1440" w:start="0" w:end="0"/>
    </w:pPr>
    <w:rPr/>
  </w:style>
  <w:style w:type="paragraph" w:styleId="DateStampWC">
    <w:name w:val="DateStampW&amp;C"/>
    <w:basedOn w:val="Normal"/>
    <w:qFormat/>
    <w:pPr>
      <w:widowControl w:val="false"/>
      <w:ind w:firstLine="1440" w:start="0" w:end="0"/>
    </w:pPr>
    <w:rPr>
      <w:b/>
      <w:bCs/>
      <w:sz w:val="12"/>
      <w:szCs w:val="12"/>
      <w:lang w:val="en-CA"/>
    </w:rPr>
  </w:style>
  <w:style w:type="paragraph" w:styleId="DateSTWC">
    <w:name w:val="DateSTW&amp;C"/>
    <w:basedOn w:val="BaseTimes"/>
    <w:qFormat/>
    <w:pPr/>
    <w:rPr>
      <w:sz w:val="12"/>
      <w:szCs w:val="12"/>
      <w:lang w:val="en-CA"/>
    </w:rPr>
  </w:style>
  <w:style w:type="paragraph" w:styleId="TOC1">
    <w:name w:val="toc 1"/>
    <w:basedOn w:val="BaseTimes"/>
    <w:pPr>
      <w:keepLines/>
      <w:tabs>
        <w:tab w:val="clear" w:pos="720"/>
        <w:tab w:val="right" w:pos="9360" w:leader="dot"/>
      </w:tabs>
      <w:spacing w:before="240" w:after="120"/>
      <w:ind w:hanging="720" w:start="720" w:end="576"/>
    </w:pPr>
    <w:rPr/>
  </w:style>
  <w:style w:type="paragraph" w:styleId="TOC2">
    <w:name w:val="toc 2"/>
    <w:basedOn w:val="BaseTimes"/>
    <w:pPr>
      <w:tabs>
        <w:tab w:val="clear" w:pos="720"/>
        <w:tab w:val="right" w:pos="9360" w:leader="dot"/>
      </w:tabs>
      <w:ind w:hanging="720" w:start="1440" w:end="576"/>
    </w:pPr>
    <w:rPr/>
  </w:style>
  <w:style w:type="paragraph" w:styleId="TOC3">
    <w:name w:val="toc 3"/>
    <w:basedOn w:val="BaseTimes"/>
    <w:pPr>
      <w:keepLines/>
      <w:tabs>
        <w:tab w:val="clear" w:pos="720"/>
        <w:tab w:val="right" w:pos="9360" w:leader="dot"/>
      </w:tabs>
      <w:ind w:hanging="720" w:start="2160" w:end="576"/>
    </w:pPr>
    <w:rPr/>
  </w:style>
  <w:style w:type="paragraph" w:styleId="TOC4">
    <w:name w:val="toc 4"/>
    <w:basedOn w:val="BaseTimes"/>
    <w:pPr>
      <w:keepLines/>
      <w:tabs>
        <w:tab w:val="clear" w:pos="720"/>
        <w:tab w:val="right" w:pos="9360" w:leader="dot"/>
      </w:tabs>
      <w:ind w:hanging="720" w:start="2880" w:end="576"/>
    </w:pPr>
    <w:rPr/>
  </w:style>
  <w:style w:type="paragraph" w:styleId="TOC11">
    <w:name w:val="TOC  1"/>
    <w:basedOn w:val="Text"/>
    <w:qFormat/>
    <w:pPr>
      <w:keepNext w:val="true"/>
      <w:keepLines/>
      <w:tabs>
        <w:tab w:val="clear" w:pos="720"/>
        <w:tab w:val="right" w:pos="9360" w:leader="dot"/>
      </w:tabs>
      <w:spacing w:before="240" w:after="120"/>
      <w:ind w:hanging="720" w:start="720" w:end="576"/>
    </w:pPr>
    <w:rPr/>
  </w:style>
  <w:style w:type="paragraph" w:styleId="BaseArial">
    <w:name w:val="BaseArial"/>
    <w:qFormat/>
    <w:pPr>
      <w:widowControl/>
      <w:bidi w:val="0"/>
    </w:pPr>
    <w:rPr>
      <w:rFonts w:ascii="Arial" w:hAnsi="Arial" w:eastAsia="Arial" w:cs="Arial"/>
      <w:color w:val="auto"/>
      <w:sz w:val="24"/>
      <w:szCs w:val="24"/>
      <w:lang w:val="en-US" w:eastAsia="zh-CN" w:bidi="hi-IN"/>
    </w:rPr>
  </w:style>
  <w:style w:type="paragraph" w:styleId="SignatureBlock">
    <w:name w:val="SignatureBlock"/>
    <w:basedOn w:val="Text"/>
    <w:next w:val="Text"/>
    <w:qFormat/>
    <w:pPr>
      <w:keepLines/>
      <w:tabs>
        <w:tab w:val="clear" w:pos="720"/>
        <w:tab w:val="left" w:pos="5731" w:leader="none"/>
        <w:tab w:val="right" w:pos="9000" w:leader="none"/>
      </w:tabs>
      <w:spacing w:before="480" w:after="240"/>
      <w:ind w:hanging="36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ind w:hanging="0" w:start="0" w:end="-7200"/>
    </w:pPr>
    <w:rPr>
      <w:rFonts w:ascii="Courier New" w:hAnsi="Courier New" w:eastAsia="Courier New" w:cs="Courier New"/>
      <w:color w:val="auto"/>
      <w:sz w:val="20"/>
      <w:szCs w:val="20"/>
      <w:lang w:val="en-US" w:eastAsia="zh-CN" w:bidi="hi-IN"/>
    </w:rPr>
  </w:style>
  <w:style w:type="paragraph" w:styleId="LongDocNameWC">
    <w:name w:val="LongDocNameW&amp;C"/>
    <w:basedOn w:val="Normal"/>
    <w:qFormat/>
    <w:pPr/>
    <w:rPr>
      <w:sz w:val="12"/>
      <w:szCs w:val="12"/>
      <w:lang w:val="en-CA"/>
    </w:rPr>
  </w:style>
  <w:style w:type="paragraph" w:styleId="IDSTWC">
    <w:name w:val="IDSTW&amp;C"/>
    <w:qFormat/>
    <w:pPr>
      <w:widowControl/>
      <w:bidi w:val="0"/>
    </w:pPr>
    <w:rPr>
      <w:rFonts w:ascii="Times New Roman" w:hAnsi="Times New Roman" w:eastAsia="Times New Roman" w:cs="Times New Roman"/>
      <w:color w:val="auto"/>
      <w:sz w:val="12"/>
      <w:szCs w:val="12"/>
      <w:lang w:val="en-CA" w:eastAsia="zh-CN" w:bidi="hi-IN"/>
    </w:rPr>
  </w:style>
  <w:style w:type="paragraph" w:styleId="IDWC">
    <w:name w:val="IDW&amp;C"/>
    <w:basedOn w:val="Normal"/>
    <w:qFormat/>
    <w:pPr>
      <w:widowControl w:val="false"/>
      <w:ind w:firstLine="1440" w:start="0" w:end="0"/>
    </w:pPr>
    <w:rPr>
      <w:sz w:val="12"/>
      <w:szCs w:val="12"/>
      <w:lang w:val="en-CA"/>
    </w:rPr>
  </w:style>
  <w:style w:type="paragraph" w:styleId="TOCHeading">
    <w:name w:val="TOCHeading"/>
    <w:basedOn w:val="Normal"/>
    <w:next w:val="Normal"/>
    <w:qFormat/>
    <w:pPr>
      <w:tabs>
        <w:tab w:val="clear" w:pos="720"/>
        <w:tab w:val="right" w:pos="9360" w:leader="none"/>
      </w:tabs>
      <w:spacing w:lineRule="exact" w:line="240" w:before="0" w:after="480"/>
    </w:pPr>
    <w:rPr/>
  </w:style>
  <w:style w:type="paragraph" w:styleId="TOC21">
    <w:name w:val="TOC  2"/>
    <w:basedOn w:val="Text"/>
    <w:qFormat/>
    <w:pPr>
      <w:tabs>
        <w:tab w:val="left" w:pos="720" w:leader="none"/>
        <w:tab w:val="right" w:pos="9360" w:leader="dot"/>
      </w:tabs>
      <w:spacing w:before="120" w:after="0"/>
      <w:ind w:hanging="720" w:start="1440" w:end="576"/>
    </w:pPr>
    <w:rPr/>
  </w:style>
  <w:style w:type="paragraph" w:styleId="TOC31">
    <w:name w:val="TOC  3"/>
    <w:basedOn w:val="Text"/>
    <w:qFormat/>
    <w:pPr>
      <w:tabs>
        <w:tab w:val="left" w:pos="720" w:leader="none"/>
        <w:tab w:val="right" w:pos="9360" w:leader="dot"/>
      </w:tabs>
      <w:spacing w:before="120" w:after="0"/>
      <w:ind w:hanging="720" w:start="2160" w:end="576"/>
    </w:pPr>
    <w:rPr/>
  </w:style>
  <w:style w:type="paragraph" w:styleId="TOC41">
    <w:name w:val="TOC  4"/>
    <w:basedOn w:val="Text"/>
    <w:qFormat/>
    <w:pPr>
      <w:tabs>
        <w:tab w:val="left" w:pos="720" w:leader="none"/>
        <w:tab w:val="right" w:pos="9360" w:leader="dot"/>
      </w:tabs>
      <w:spacing w:before="120" w:after="0"/>
      <w:ind w:hanging="720" w:start="2880" w:end="576"/>
    </w:pPr>
    <w:rPr/>
  </w:style>
  <w:style w:type="paragraph" w:styleId="TOC5">
    <w:name w:val="TOC  5"/>
    <w:basedOn w:val="Text"/>
    <w:qFormat/>
    <w:pPr>
      <w:tabs>
        <w:tab w:val="left" w:pos="720" w:leader="none"/>
        <w:tab w:val="right" w:pos="9360" w:leader="dot"/>
      </w:tabs>
      <w:spacing w:before="120" w:after="0"/>
      <w:ind w:hanging="720" w:start="3600" w:end="576"/>
    </w:pPr>
    <w:rPr/>
  </w:style>
  <w:style w:type="paragraph" w:styleId="TOC6">
    <w:name w:val="TOC  6"/>
    <w:basedOn w:val="Text"/>
    <w:qFormat/>
    <w:pPr>
      <w:tabs>
        <w:tab w:val="left" w:pos="720" w:leader="none"/>
        <w:tab w:val="right" w:pos="9360" w:leader="dot"/>
      </w:tabs>
      <w:spacing w:before="120" w:after="0"/>
      <w:ind w:hanging="720" w:start="4320" w:end="576"/>
    </w:pPr>
    <w:rPr/>
  </w:style>
  <w:style w:type="paragraph" w:styleId="FacePage">
    <w:name w:val="Face Page"/>
    <w:basedOn w:val="Normal"/>
    <w:qFormat/>
    <w:pPr>
      <w:widowControl w:val="false"/>
      <w:spacing w:lineRule="exact" w:line="240"/>
    </w:pPr>
    <w:rPr>
      <w:rFonts w:ascii="CG Times;Times New Roman" w:hAnsi="CG Times;Times New Roman" w:eastAsia="CG Times;Times New Roman" w:cs="CG Times;Times New Roman"/>
      <w:sz w:val="25"/>
      <w:szCs w:val="25"/>
    </w:rPr>
  </w:style>
  <w:style w:type="paragraph" w:styleId="Adjuster">
    <w:name w:val="Adjuster"/>
    <w:basedOn w:val="FacePage"/>
    <w:qFormat/>
    <w:pPr>
      <w:spacing w:lineRule="exact" w:line="40"/>
    </w:pPr>
    <w:rPr/>
  </w:style>
  <w:style w:type="paragraph" w:styleId="Text1">
    <w:name w:val="Text1"/>
    <w:basedOn w:val="Text"/>
    <w:qFormat/>
    <w:pPr>
      <w:spacing w:before="120" w:after="0"/>
      <w:ind w:hanging="0" w:start="720" w:end="0"/>
    </w:pPr>
    <w:rPr>
      <w:sz w:val="28"/>
      <w:szCs w:val="28"/>
    </w:rPr>
  </w:style>
  <w:style w:type="paragraph" w:styleId="PleadingText">
    <w:name w:val="Pleading Text"/>
    <w:basedOn w:val="Normal"/>
    <w:qFormat/>
    <w:pPr>
      <w:spacing w:lineRule="exact" w:line="480" w:before="0" w:after="120"/>
      <w:ind w:firstLine="1440" w:start="0" w:end="0"/>
    </w:pPr>
    <w:rPr>
      <w:sz w:val="28"/>
      <w:szCs w:val="28"/>
    </w:rPr>
  </w:style>
  <w:style w:type="paragraph" w:styleId="TOC51">
    <w:name w:val="toc 5"/>
    <w:basedOn w:val="Normal"/>
    <w:next w:val="Normal"/>
    <w:pPr>
      <w:tabs>
        <w:tab w:val="clear" w:pos="720"/>
        <w:tab w:val="right" w:pos="9360" w:leader="dot"/>
      </w:tabs>
      <w:ind w:hanging="0" w:start="960" w:end="0"/>
    </w:pPr>
    <w:rPr/>
  </w:style>
  <w:style w:type="paragraph" w:styleId="TOC61">
    <w:name w:val="toc 6"/>
    <w:basedOn w:val="Normal"/>
    <w:next w:val="Normal"/>
    <w:pPr>
      <w:tabs>
        <w:tab w:val="clear" w:pos="720"/>
        <w:tab w:val="right" w:pos="9360" w:leader="dot"/>
      </w:tabs>
      <w:ind w:hanging="0" w:start="120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 W&amp;C</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2001-08-20T13:42:00Z</dcterms:created>
  <dc:creator>STURGJO</dc:creator>
  <dc:description/>
  <cp:keywords>losangeles 61523 v4</cp:keywords>
  <dc:language>en-CA</dc:language>
  <cp:lastModifiedBy>bhawkin</cp:lastModifiedBy>
  <cp:lastPrinted>2001-08-15T14:51:00Z</cp:lastPrinted>
  <dcterms:modified xsi:type="dcterms:W3CDTF">2001-08-20T13:42:00Z</dcterms:modified>
  <cp:revision>2</cp:revision>
  <dc:subject/>
  <dc:title>JAS-sppc-respondents' brief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Description">
    <vt:lpwstr> </vt:lpwstr>
  </property>
  <property fmtid="{D5CDD505-2E9C-101B-9397-08002B2CF9AE}" pid="3" name="DateMissiv">
    <vt:lpwstr>Date</vt:lpwstr>
  </property>
  <property fmtid="{D5CDD505-2E9C-101B-9397-08002B2CF9AE}" pid="4" name="FYIMissiv">
    <vt:lpwstr>For your information</vt:lpwstr>
  </property>
  <property fmtid="{D5CDD505-2E9C-101B-9397-08002B2CF9AE}" pid="5" name="Full DOS Name">
    <vt:bool>0</vt:bool>
  </property>
  <property fmtid="{D5CDD505-2E9C-101B-9397-08002B2CF9AE}" pid="6" name="Language1">
    <vt:lpwstr>English (US)</vt:lpwstr>
  </property>
  <property fmtid="{D5CDD505-2E9C-101B-9397-08002B2CF9AE}" pid="7" name="PrivLine1">
    <vt:lpwstr>Privileged &amp; Confidential</vt:lpwstr>
  </property>
  <property fmtid="{D5CDD505-2E9C-101B-9397-08002B2CF9AE}" pid="8" name="PrivLine2">
    <vt:lpwstr>Attorney Work Product</vt:lpwstr>
  </property>
  <property fmtid="{D5CDD505-2E9C-101B-9397-08002B2CF9AE}" pid="9" name="ReferenceMissiv">
    <vt:lpwstr>Our reference</vt:lpwstr>
  </property>
  <property fmtid="{D5CDD505-2E9C-101B-9397-08002B2CF9AE}" pid="10" name="ShowVersion">
    <vt:bool>1</vt:bool>
  </property>
  <property fmtid="{D5CDD505-2E9C-101B-9397-08002B2CF9AE}" pid="11" name="SigBy1">
    <vt:lpwstr>By:</vt:lpwstr>
  </property>
  <property fmtid="{D5CDD505-2E9C-101B-9397-08002B2CF9AE}" pid="12" name="SigBy5">
    <vt:lpwstr>By:</vt:lpwstr>
  </property>
  <property fmtid="{D5CDD505-2E9C-101B-9397-08002B2CF9AE}" pid="13" name="SigBy6">
    <vt:lpwstr>By:</vt:lpwstr>
  </property>
  <property fmtid="{D5CDD505-2E9C-101B-9397-08002B2CF9AE}" pid="14" name="SigName1">
    <vt:lpwstr>Name:</vt:lpwstr>
  </property>
  <property fmtid="{D5CDD505-2E9C-101B-9397-08002B2CF9AE}" pid="15" name="SigName5">
    <vt:lpwstr>Name:</vt:lpwstr>
  </property>
  <property fmtid="{D5CDD505-2E9C-101B-9397-08002B2CF9AE}" pid="16" name="SigName6">
    <vt:lpwstr>Name:</vt:lpwstr>
  </property>
  <property fmtid="{D5CDD505-2E9C-101B-9397-08002B2CF9AE}" pid="17" name="SigTitle1">
    <vt:lpwstr>Title:</vt:lpwstr>
  </property>
  <property fmtid="{D5CDD505-2E9C-101B-9397-08002B2CF9AE}" pid="18" name="SigTitle5">
    <vt:lpwstr>Title:</vt:lpwstr>
  </property>
  <property fmtid="{D5CDD505-2E9C-101B-9397-08002B2CF9AE}" pid="19" name="SigTitle6">
    <vt:lpwstr>Title:</vt:lpwstr>
  </property>
  <property fmtid="{D5CDD505-2E9C-101B-9397-08002B2CF9AE}" pid="20" name="TelefaxMissiv">
    <vt:lpwstr>Telefax</vt:lpwstr>
  </property>
  <property fmtid="{D5CDD505-2E9C-101B-9397-08002B2CF9AE}" pid="21" name="TelephoneMissiv">
    <vt:lpwstr>Telephone</vt:lpwstr>
  </property>
  <property fmtid="{D5CDD505-2E9C-101B-9397-08002B2CF9AE}" pid="22" name="ToMissiv">
    <vt:lpwstr>To</vt:lpwstr>
  </property>
  <property fmtid="{D5CDD505-2E9C-101B-9397-08002B2CF9AE}" pid="23" name="VisitingAddressMissiv">
    <vt:lpwstr>Visiting address</vt:lpwstr>
  </property>
  <property fmtid="{D5CDD505-2E9C-101B-9397-08002B2CF9AE}" pid="24" name="WCOffice">
    <vt:lpwstr>Los Angeles</vt:lpwstr>
  </property>
  <property fmtid="{D5CDD505-2E9C-101B-9397-08002B2CF9AE}" pid="25" name="WCPage1">
    <vt:lpwstr>Page</vt:lpwstr>
  </property>
</Properties>
</file>