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pPr>
            <w:bookmarkStart w:id="0" w:name="to"/>
            <w:bookmarkEnd w:id="0"/>
            <w:r>
              <w:rPr/>
              <w:t>Keith Petersen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pPr>
            <w:r>
              <w:rPr/>
              <w:t>Josie Call</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pPr>
            <w:bookmarkStart w:id="1" w:name="From"/>
            <w:bookmarkEnd w:id="1"/>
            <w:r>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pPr>
            <w:bookmarkStart w:id="2" w:name="Subject"/>
            <w:bookmarkEnd w:id="2"/>
            <w:r>
              <w:rPr/>
              <w:t>Certificate Status Report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pPr>
            <w:r>
              <w:rPr/>
              <w:t>January 4,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four (4)</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December 7, 2000,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J. Shafer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J. White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S. Corman</w:t>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R. Hayslett</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Omaha, Houston &amp; Minneapolis</w:t>
        <w:tab/>
        <w:tab/>
        <w:tab/>
        <w:tab/>
        <w:t>Certificate Department Staff</w:t>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Zahn</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January</w:t>
        <w:tab/>
        <w:tab/>
        <w:t xml:space="preserve">Houston </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 xml:space="preserve">Omaha </w:t>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K. Earl</w:t>
        <w:tab/>
        <w:t xml:space="preserve"> </w:t>
        <w:tab/>
        <w:tab/>
        <w:t>Amarillo</w:t>
        <w:tab/>
        <w:tab/>
        <w:tab/>
        <w:tab/>
        <w:t>T. Mertz</w:t>
        <w:tab/>
        <w:tab/>
        <w:tab/>
        <w:t xml:space="preserve">Beatrice Region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Galassini</w:t>
        <w:tab/>
        <w:tab/>
        <w:t>Houston</w:t>
        <w:tab/>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M. Adelmann</w:t>
        <w:tab/>
        <w:tab/>
        <w:t xml:space="preserve">Minneapolis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Hugoton Region</w:t>
        <w:tab/>
        <w:tab/>
        <w:tab/>
        <w:t>R. Matthews</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G. Cade</w:t>
        <w:tab/>
        <w:tab/>
        <w:tab/>
        <w:t xml:space="preserve">Omaha </w:t>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M. Underwood</w:t>
        <w:tab/>
        <w:tab/>
        <w:t>Minneapolis</w:t>
        <w:tab/>
        <w:tab/>
        <w:tab/>
        <w:t>D. Sinclair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C. Graham</w:t>
        <w:tab/>
        <w:tab/>
        <w:t>Omaha</w:t>
        <w:tab/>
        <w:tab/>
        <w:tab/>
        <w:tab/>
        <w:t>J. Butler</w:t>
        <w:tab/>
        <w:tab/>
        <w:tab/>
        <w:t>Houston</w:t>
      </w:r>
    </w:p>
    <w:p>
      <w:pPr>
        <w:pStyle w:val="Heading4"/>
        <w:rPr/>
      </w:pPr>
      <w:r>
        <w:rPr/>
        <w:t>S. Thomas</w:t>
        <w:tab/>
        <w:tab/>
        <w:t>Omaha</w:t>
        <w:tab/>
        <w:tab/>
        <w:tab/>
        <w:tab/>
        <w:t>Nancy Bagot</w:t>
        <w:tab/>
        <w:tab/>
        <w:t>Washington, DC</w:t>
      </w:r>
    </w:p>
    <w:p>
      <w:pPr>
        <w:pStyle w:val="Normal"/>
        <w:rPr/>
      </w:pPr>
      <w:r>
        <w:rPr/>
        <w:tab/>
        <w:t xml:space="preserve">          </w:t>
      </w:r>
      <w:r>
        <w:rPr>
          <w:b/>
          <w:sz w:val="17"/>
        </w:rPr>
        <w:t>S. Clark</w:t>
        <w:tab/>
        <w:tab/>
        <w:t xml:space="preserve">            Midland</w:t>
        <w:tab/>
        <w:tab/>
        <w:tab/>
        <w:t xml:space="preserve">           M. VanNorden</w:t>
        <w:tab/>
        <w:t xml:space="preserve">            Washington, DC</w:t>
        <w:tab/>
        <w:t xml:space="preserve">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b/>
          <w:sz w:val="12"/>
        </w:rPr>
      </w:pPr>
      <w:r>
        <w:rPr>
          <w:b/>
          <w:sz w:val="12"/>
        </w:rPr>
        <w:t>STATUS.DOC</w:t>
      </w:r>
    </w:p>
    <w:p>
      <w:pPr>
        <w:pStyle w:val="Body"/>
        <w:widowControl/>
        <w:rPr/>
      </w:pPr>
      <w:r>
        <w:rPr/>
      </w:r>
    </w:p>
    <w:p>
      <w:pPr>
        <w:pStyle w:val="Body"/>
        <w:widowControl/>
        <w:rPr/>
      </w:pPr>
      <w:r>
        <w:rPr/>
      </w:r>
    </w:p>
    <w:p>
      <w:pPr>
        <w:pStyle w:val="Body"/>
        <w:widowControl/>
        <w:rPr/>
      </w:pPr>
      <w:r>
        <w:rPr/>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Courier New" w:hAnsi="Courier;Courier New" w:cs="Courier;Courier New"/>
          <w:caps w:val="false"/>
          <w:smallCaps w:val="false"/>
          <w:sz w:val="28"/>
        </w:rPr>
      </w:pPr>
      <w:r>
        <w:rPr>
          <w:caps w:val="false"/>
          <w:smallCaps w:val="false"/>
          <w:sz w:val="28"/>
        </w:rPr>
        <w:t>TABLE OF CONTENTS</w:t>
      </w:r>
    </w:p>
    <w:p>
      <w:pPr>
        <w:pStyle w:val="TOC1"/>
        <w:jc w:val="end"/>
        <w:rPr>
          <w:rFonts w:ascii="Courier;Courier New" w:hAnsi="Courier;Courier New" w:cs="Courier;Courier New"/>
          <w:b w:val="false"/>
          <w:caps w:val="false"/>
          <w:smallCaps w:val="false"/>
          <w:sz w:val="19"/>
        </w:rPr>
      </w:pPr>
      <w:r>
        <w:rPr>
          <w:rFonts w:cs="Courier;Courier New" w:ascii="Courier;Courier New" w:hAnsi="Courier;Courier New"/>
          <w:b w:val="false"/>
          <w:caps w:val="false"/>
          <w:smallCaps w:val="false"/>
          <w:sz w:val="19"/>
        </w:rPr>
        <w:t>PAGE NO.</w:t>
      </w:r>
    </w:p>
    <w:sdt>
      <w:sdtPr>
        <w:docPartObj>
          <w:docPartGallery w:val="Table of Contents"/>
          <w:docPartUnique w:val="true"/>
        </w:docPartObj>
      </w:sdtPr>
      <w:sdtContent>
        <w:p>
          <w:pPr>
            <w:pStyle w:val="TOC1"/>
            <w:rPr>
              <w:b w:val="false"/>
              <w:lang w:val="en-CA"/>
            </w:rPr>
          </w:pPr>
          <w:r>
            <w:fldChar w:fldCharType="begin"/>
          </w:r>
          <w:r>
            <w:rPr>
              <w:b w:val="false"/>
              <w:lang w:val="en-CA"/>
            </w:rPr>
            <w:instrText xml:space="preserve"> TOC \o "1-3" </w:instrText>
          </w:r>
          <w:r>
            <w:rPr>
              <w:b w:val="false"/>
              <w:lang w:val="en-CA"/>
            </w:rPr>
            <w:fldChar w:fldCharType="separate"/>
          </w:r>
          <w:r>
            <w:rPr>
              <w:b w:val="false"/>
              <w:lang w:val="en-CA"/>
            </w:rPr>
            <w:t>FERC AUTHORIZATION RECEIVED</w:t>
            <w:tab/>
          </w:r>
          <w:r>
            <w:fldChar w:fldCharType="begin"/>
          </w:r>
          <w:r>
            <w:rPr>
              <w:b w:val="false"/>
              <w:lang w:val="en-CA"/>
            </w:rPr>
            <w:instrText xml:space="preserve"> GOTOBUTTON _Toc427576807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NEW APPLICATIONS FILED</w:t>
            <w:tab/>
          </w:r>
          <w:r>
            <w:fldChar w:fldCharType="begin"/>
          </w:r>
          <w:r>
            <w:rPr>
              <w:b w:val="false"/>
              <w:lang w:val="en-CA"/>
            </w:rPr>
            <w:instrText xml:space="preserve"> GOTOBUTTON _Toc427576808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OTHER DISPOSITIONS OF PROJECTS</w:t>
            <w:tab/>
          </w:r>
          <w:r>
            <w:fldChar w:fldCharType="begin"/>
          </w:r>
          <w:r>
            <w:rPr>
              <w:b w:val="false"/>
              <w:lang w:val="en-CA"/>
            </w:rPr>
            <w:instrText xml:space="preserve"> GOTOBUTTON _Toc427576809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REHEARING</w:t>
            <w:tab/>
          </w:r>
          <w:r>
            <w:fldChar w:fldCharType="begin"/>
          </w:r>
          <w:r>
            <w:rPr>
              <w:b w:val="false"/>
              <w:lang w:val="en-CA"/>
            </w:rPr>
            <w:instrText xml:space="preserve"> GOTOBUTTON _Toc427576810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APPROVED WITH CONDITIONS</w:t>
            <w:tab/>
          </w:r>
          <w:r>
            <w:fldChar w:fldCharType="begin"/>
          </w:r>
          <w:r>
            <w:rPr>
              <w:b w:val="false"/>
              <w:lang w:val="en-CA"/>
            </w:rPr>
            <w:instrText xml:space="preserve"> GOTOBUTTON _Toc427576811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FERC APPROVAL</w:t>
            <w:tab/>
          </w:r>
          <w:r>
            <w:fldChar w:fldCharType="begin"/>
          </w:r>
          <w:r>
            <w:rPr>
              <w:b w:val="false"/>
              <w:lang w:val="en-CA"/>
            </w:rPr>
            <w:instrText xml:space="preserve"> GOTOBUTTON _Toc427576812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PROJECTS TO BE FILED</w:t>
            <w:tab/>
          </w:r>
          <w:r>
            <w:fldChar w:fldCharType="begin"/>
          </w:r>
          <w:r>
            <w:rPr>
              <w:b w:val="false"/>
              <w:lang w:val="en-CA"/>
            </w:rPr>
            <w:instrText xml:space="preserve"> GOTOBUTTON _Toc427576813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r>
            <w:rPr>
              <w:b w:val="false"/>
              <w:lang w:val="en-CA"/>
            </w:rPr>
            <w:fldChar w:fldCharType="end"/>
          </w:r>
        </w:p>
      </w:sdtContent>
    </w:sdt>
    <w:p>
      <w:pPr>
        <w:pStyle w:val="TOC1"/>
        <w:jc w:val="center"/>
        <w:rPr>
          <w:rFonts w:ascii="Courier;Courier New" w:hAnsi="Courier;Courier New" w:cs="Courier;Courier New"/>
          <w:b w:val="false"/>
          <w:caps w:val="false"/>
          <w:smallCaps w:val="false"/>
          <w:sz w:val="28"/>
          <w:lang w:val="en-CA"/>
        </w:rPr>
      </w:pPr>
      <w:r>
        <w:rPr>
          <w:rFonts w:cs="Courier;Courier New" w:ascii="Courier;Courier New" w:hAnsi="Courier;Courier New"/>
          <w:b w:val="false"/>
          <w:caps w:val="false"/>
          <w:smallCaps w:val="false"/>
          <w:sz w:val="28"/>
          <w:lang w:val="en-CA"/>
        </w:rPr>
      </w:r>
    </w:p>
    <w:p>
      <w:pPr>
        <w:pStyle w:val="Normal"/>
        <w:tabs>
          <w:tab w:val="clear" w:pos="720"/>
          <w:tab w:val="center" w:pos="4920" w:leader="none"/>
        </w:tabs>
        <w:rPr>
          <w:rFonts w:ascii="Courier;Courier New" w:hAnsi="Courier;Courier New" w:cs="Courier;Courier New"/>
          <w:caps/>
          <w:sz w:val="19"/>
        </w:rPr>
      </w:pPr>
      <w:r>
        <w:rPr>
          <w:rFonts w:cs="Courier;Courier New" w:ascii="Courier;Courier New" w:hAnsi="Courier;Courier New"/>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5"/>
        <w:rPr>
          <w:rFonts w:ascii="Courier New" w:hAnsi="Courier New" w:cs="Courier New"/>
          <w:b/>
        </w:rPr>
      </w:pPr>
      <w:r>
        <w:rPr>
          <w:rFonts w:cs="Courier New" w:ascii="Courier New" w:hAnsi="Courier New"/>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Courier New" w:hAnsi="Courier New" w:cs="Courier New"/>
          <w:b/>
          <w:sz w:val="22"/>
        </w:rPr>
      </w:pPr>
      <w:r>
        <w:rPr>
          <w:rFonts w:cs="Courier New" w:ascii="Courier New" w:hAnsi="Courier New"/>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Times New Roman" w:hAnsi="Times New Roman" w:cs="Times New Roman"/>
          <w:sz w:val="22"/>
        </w:rPr>
      </w:pPr>
      <w:r>
        <w:rPr>
          <w:rFonts w:cs="Times New Roman"/>
          <w:sz w:val="22"/>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t xml:space="preserve">January 4, 2001 </w:t>
      </w:r>
      <w:r>
        <w:rPr>
          <w:sz w:val="22"/>
        </w:rPr>
        <w:t xml:space="preserve">– As of this date, several informal data requests have been received and a response to each is being prepared.  Commission Certificate Staff  is seeking more detail on the B-Line replacement while Environmental Staff has requested additional information on  activity in the river itself as well as further justification for the proposed method of abandonment and alternatives considered.  We have also just received oral notice that the Nebraska State Historical Society has determined that the bridge is </w:t>
      </w:r>
      <w:r>
        <w:rPr>
          <w:rFonts w:cs="Arial" w:ascii="Arial" w:hAnsi="Arial"/>
          <w:color w:val="000000"/>
          <w:lang w:eastAsia="en-US"/>
        </w:rPr>
        <w:t xml:space="preserve">eligible for the National Historic Registry.  This </w:t>
      </w:r>
      <w:r>
        <w:rPr>
          <w:sz w:val="22"/>
        </w:rPr>
        <w:t>will require additional time and expense by Northern to prepare, distribute and archive the facility history if we continue to seek abandonment.</w:t>
      </w:r>
    </w:p>
    <w:p>
      <w:pPr>
        <w:pStyle w:val="Normal"/>
        <w:ind w:hanging="1440" w:start="1440" w:end="0"/>
        <w:jc w:val="both"/>
        <w:rPr>
          <w:sz w:val="22"/>
        </w:rPr>
      </w:pPr>
      <w:r>
        <w:rPr>
          <w:sz w:val="22"/>
        </w:rPr>
        <w:t xml:space="preserve">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Noticed:</w:t>
        <w:tab/>
        <w:tab/>
        <w:tab/>
        <w:tab/>
        <w:t>11/30/00</w:t>
      </w:r>
    </w:p>
    <w:p>
      <w:pPr>
        <w:pStyle w:val="Normal"/>
        <w:ind w:hanging="1440" w:start="1440" w:end="0"/>
        <w:jc w:val="both"/>
        <w:rPr>
          <w:sz w:val="22"/>
        </w:rPr>
      </w:pPr>
      <w:r>
        <w:rPr>
          <w:sz w:val="22"/>
        </w:rPr>
        <w:tab/>
        <w:tab/>
        <w:t>Intervention Period Ends</w:t>
        <w:tab/>
        <w:tab/>
        <w:t>12/21/00</w:t>
      </w:r>
    </w:p>
    <w:p>
      <w:pPr>
        <w:pStyle w:val="Normal"/>
        <w:ind w:hanging="1440" w:start="1440" w:end="0"/>
        <w:jc w:val="both"/>
        <w:rPr>
          <w:sz w:val="22"/>
        </w:rPr>
      </w:pPr>
      <w:r>
        <w:rPr>
          <w:sz w:val="22"/>
        </w:rPr>
        <w:tab/>
        <w:tab/>
        <w:t>Regulatory Analyst:</w:t>
        <w:tab/>
        <w:tab/>
        <w:tab/>
        <w:t xml:space="preserve">       Vig</w:t>
      </w:r>
    </w:p>
    <w:p>
      <w:pPr>
        <w:pStyle w:val="Normal"/>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3"/>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ind w:hanging="1440" w:start="1440" w:end="0"/>
        <w:rPr/>
      </w:pPr>
      <w:r>
        <w:rPr>
          <w:b/>
          <w:sz w:val="22"/>
        </w:rPr>
        <w:t>CP01-15</w:t>
      </w:r>
      <w:r>
        <w:rPr>
          <w:sz w:val="22"/>
        </w:rPr>
        <w:tab/>
      </w:r>
      <w:r>
        <w:rPr>
          <w:b/>
          <w:sz w:val="22"/>
        </w:rPr>
        <w:t xml:space="preserve">WEST POINT DAIRY DELIVERY POINT - </w:t>
      </w:r>
      <w:r>
        <w:rPr>
          <w:sz w:val="22"/>
        </w:rPr>
        <w:t xml:space="preserve">Prior Notice filing to install a new delivery point in Cuming County, NE for West Point Dairy Products, Inc.  West Point Dairy Products requested the proposed delivery point, which constitutes a bypass of UCU.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10/18/00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Approval Date:</w:t>
        <w:tab/>
        <w:t>12/08/00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rPr>
          <w:b/>
          <w:sz w:val="22"/>
        </w:rPr>
      </w:pPr>
      <w:r>
        <w:rPr>
          <w:b/>
          <w:sz w:val="22"/>
        </w:rPr>
      </w:r>
    </w:p>
    <w:p>
      <w:pPr>
        <w:pStyle w:val="Normal"/>
        <w:rPr/>
      </w:pPr>
      <w:r>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 xml:space="preserve">Acquisition of the MI 787 lateral closed effective December 8, 1998.  Letter notifying the Commission of the acquisition was filed on March 1, 1999. </w:t>
      </w:r>
      <w:r>
        <w:rPr>
          <w:b/>
          <w:sz w:val="22"/>
        </w:rPr>
        <w:t xml:space="preserve"> Northern is evaluating the potential abandonment of the compressor facilities located in MAT 686.  Northern will file the abandonment in a separate filing.</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CP99-522</w:t>
      </w:r>
      <w:r>
        <w:rPr>
          <w:b/>
          <w:sz w:val="22"/>
        </w:rPr>
        <w:tab/>
        <w:t xml:space="preserve">GALLUP EXPANSION/SAN JUAN COOLERS – </w:t>
      </w:r>
      <w:r>
        <w:rPr>
          <w:sz w:val="22"/>
        </w:rPr>
        <w:t xml:space="preserve">Section 7(c) application to install and operate additional cooling at the Bloomfield and LaPlata “A” compressor stations and a new compression (Gallup) all on the San Juan lateral. On January 14, 2000, filed to accept the order without prejudice to reserving our right to seek rehearing and/or clarification to the order.  </w:t>
      </w:r>
      <w:r>
        <w:rPr>
          <w:color w:val="000000"/>
          <w:sz w:val="22"/>
        </w:rPr>
        <w:t>On January 21, filed notice of a bona fide beginning of construction date of January 17, 2000.  On February 14, 2000 filed a report explaining how Transwestern will retain operational control of the electric motor and a request for rehearing on the discounted rates</w:t>
      </w:r>
      <w:r>
        <w:rPr>
          <w:b/>
          <w:color w:val="000000"/>
          <w:sz w:val="22"/>
        </w:rPr>
        <w:t xml:space="preserve">.  </w:t>
      </w:r>
      <w:r>
        <w:rPr>
          <w:color w:val="000000"/>
          <w:sz w:val="22"/>
        </w:rPr>
        <w:t xml:space="preserve">On February 24, 2000 filed Notice of Construction for the Bloomfield cooler effective February 22, 2000.   A February 28, 2000 Notice of Construction at LaPlata was filed on February 29, 2000.  On 4/10/2000 and 4/24/2000 respectively, filed notices of in-service effective 4/6/2000 for the Bloomfield cooler and 4/20/2000 for the LaPlata coolers.  On 5/5/2000 filed notice of a 5/1/2000 in-service date for the Gallup Compressor Station.  On May 10, 2000 notified FERC that construction activities associated with the installation of the coolers at LaPlata were completed as of May 8, 2000. </w:t>
      </w:r>
      <w:r>
        <w:rPr>
          <w:b/>
          <w:sz w:val="22"/>
        </w:rPr>
        <w:t xml:space="preserve"> </w:t>
      </w:r>
      <w:r>
        <w:rPr>
          <w:sz w:val="22"/>
        </w:rPr>
        <w:t>On June 30, 2000 filed request for extension of time to file noise surveys.  Preliminary data indicates all sites fall within the 55 Ldn range.  Expect reports to be available by mid-July.   FERC granted the request for an extension until August 1, 2000.      FERC denied SoCal’s request for rehearing stating the project would not be subsidized by existing customers and SoCal would not be harmed by the project.  Transwestern’s request for rehearing was deemed moot because the discount rates were filed in the normal course of business.  Filed the noise survey for Gallup Compressor Station on July 21, 2000 indicating noise levels well below 55 Ldn (50.5 and 45.9) at the nearest noise sensitive areas.  On November 29, 2000, filed request for waiver of 6 month requirement and request for extension of time to file the actual costs.  Filed actual costs of $13,006,227 filed on December 28, 2000.  Actual costs were $1,451,852 over the estimate resulting from winter construction, expedited labor, additional materials as a result of unexpected problems at Bloomfield, and increased allocation of overheads.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 xml:space="preserve">: </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Filed:</w:t>
        <w:tab/>
        <w:t>05/13/99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01/13/00</w:t>
      </w:r>
      <w:r>
        <w:rPr>
          <w:rFonts w:cs="Times New Roman" w:ascii="Times New Roman" w:hAnsi="Times New Roman"/>
          <w:sz w:val="22"/>
        </w:rPr>
        <w:t xml:space="preserve"> </w:t>
      </w:r>
      <w:r>
        <w:rPr>
          <w:rFonts w:cs="Times New Roman" w:ascii="Times New Roman" w:hAnsi="Times New Roman"/>
          <w:b w:val="false"/>
          <w:sz w:val="16"/>
        </w:rPr>
        <w:t>90 FERC ¶ 61,032 (2000)</w:t>
      </w:r>
    </w:p>
    <w:p>
      <w:pPr>
        <w:pStyle w:val="BodyTextIndent2"/>
        <w:rPr/>
      </w:pPr>
      <w:r>
        <w:rPr>
          <w:rFonts w:cs="Times New Roman" w:ascii="Times New Roman" w:hAnsi="Times New Roman"/>
          <w:b w:val="false"/>
          <w:sz w:val="22"/>
        </w:rPr>
        <w:tab/>
        <w:tab/>
        <w:tab/>
      </w:r>
      <w:r>
        <w:rPr>
          <w:rFonts w:cs="Times New Roman" w:ascii="Times New Roman" w:hAnsi="Times New Roman"/>
          <w:sz w:val="22"/>
        </w:rPr>
        <w:t>Order on Rehearing</w:t>
        <w:tab/>
        <w:t xml:space="preserve">07/14/00 </w:t>
      </w:r>
      <w:r>
        <w:rPr>
          <w:rFonts w:cs="Times New Roman" w:ascii="Times New Roman" w:hAnsi="Times New Roman"/>
          <w:sz w:val="16"/>
        </w:rPr>
        <w:t>92 FERC ¶61,035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 xml:space="preserve">A letter is being prepared for comments to notify FERC that, due to economic reasons of Duke, the second closing/abandonment will not take place.  This decision will also preclude the need to relocate the compressor station.  Property Accounting has been notified to prepare and submit the appropriate entries to FERC related to the first closing to comply with a Condition in the Order.    </w:t>
      </w:r>
      <w:r>
        <w:rPr>
          <w:b/>
          <w:sz w:val="22"/>
        </w:rPr>
        <w:t xml:space="preserve">  </w:t>
        <w:tab/>
        <w:tab/>
      </w:r>
      <w:r>
        <w:rPr>
          <w:b/>
          <w:sz w:val="22"/>
          <w:u w:val="single"/>
        </w:rPr>
        <w:t>REMAINING CONDITIONS</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A Motion to Vacate this order was filed on December 11, 2000.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sz w:val="16"/>
        </w:rPr>
        <w:tab/>
        <w:tab/>
        <w:tab/>
      </w:r>
      <w:r>
        <w:rPr>
          <w:sz w:val="22"/>
        </w:rPr>
        <w:t>Order on Motion to Vacate:</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–CMS conveyance documents received in September.  Duke document received in December.  A letter complying with the abandonment notification Condition of the Order will be prepared for comments and, once approved, sent to FERC.  This should conclude the “abandonment by sale” portion of the 751 filing.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rFonts w:ascii="Times New Roman" w:hAnsi="Times New Roman" w:cs="Times New Roman"/>
          <w:b/>
          <w:sz w:val="22"/>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issued September 30, 1999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On November 1, 1999, Winslow Holasek filed a timely request for rehearing of the Commission‘s Order approving this project Order Denying Rehearing and Reconsideration and Dismissing Motion to Stay was issued March 24, 2000.  The Phase I facilities were placed in-service on November 29, 1999.  A request for a waiver of the blanket cost limits was filed on June 13, 2000.   FERC responded on July 7 that the request for a waiver was premature unless Northern had information that showed the estimated costs would exceed the blanket cost limits. The Phase II facilities were placed in-service on September 21,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CONDITIONS</w:t>
      </w:r>
      <w:r>
        <w:rPr>
          <w:b/>
          <w:sz w:val="22"/>
        </w:rPr>
        <w:t xml:space="preserve">: </w:t>
      </w:r>
    </w:p>
    <w:p>
      <w:pPr>
        <w:pStyle w:val="Normal"/>
        <w:numPr>
          <w:ilvl w:val="0"/>
          <w:numId w:val="2"/>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File Actual Construction Costs on or before March 21, 2001</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Decision made on third party consultant to prepare historical pamphlet.   Third party consultant had begun research on historical pamphlet.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Northern will file to vacate this order.  </w:t>
      </w:r>
      <w:r>
        <w:rPr>
          <w:b/>
          <w:sz w:val="22"/>
        </w:rPr>
        <w:t>Waiting for Marketing regarding the timing of a filing.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Normal"/>
        <w:ind w:hanging="1440" w:start="1440" w:end="0"/>
        <w:jc w:val="both"/>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The order issued October 27</w:t>
      </w:r>
      <w:r>
        <w:rPr>
          <w:sz w:val="22"/>
          <w:vertAlign w:val="superscript"/>
        </w:rPr>
        <w:t>th</w:t>
      </w:r>
      <w:r>
        <w:rPr>
          <w:sz w:val="22"/>
        </w:rPr>
        <w:t xml:space="preserve"> grants permission and approval to abandon the SSL facilities by sale to El Paso, denies Anadarko’s and Amoco’s protests, and declares the subject facilities gathering</w:t>
      </w:r>
      <w:r>
        <w:rPr>
          <w:b/>
          <w:sz w:val="22"/>
        </w:rPr>
        <w:t xml:space="preserve">.  Sale closed effective December 1, 2000.  Notice of abandonment filed on December 7, 2000. </w:t>
      </w:r>
    </w:p>
    <w:p>
      <w:pPr>
        <w:pStyle w:val="Normal"/>
        <w:ind w:hanging="1440" w:start="1440" w:end="0"/>
        <w:jc w:val="both"/>
        <w:rPr/>
      </w:pPr>
      <w:r>
        <w:rPr>
          <w:sz w:val="22"/>
        </w:rPr>
        <w:tab/>
      </w:r>
      <w:r>
        <w:rPr>
          <w:b/>
          <w:sz w:val="22"/>
          <w:u w:val="single"/>
        </w:rPr>
        <w:t>Remaining condition</w:t>
      </w:r>
      <w:r>
        <w:rPr>
          <w:b/>
          <w:sz w:val="22"/>
        </w:rPr>
        <w:t xml:space="preserve">:  </w:t>
      </w:r>
    </w:p>
    <w:p>
      <w:pPr>
        <w:pStyle w:val="Normal"/>
        <w:ind w:hanging="1440" w:start="1440" w:end="0"/>
        <w:jc w:val="both"/>
        <w:rPr>
          <w:b/>
          <w:sz w:val="22"/>
          <w:u w:val="single"/>
        </w:rPr>
      </w:pPr>
      <w:r>
        <w:rPr>
          <w:b/>
          <w:sz w:val="22"/>
        </w:rPr>
        <w:tab/>
        <w:t>Accounting entries due on or before June 6, 2001.</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t>Abandonment Order Issued:</w:t>
        <w:tab/>
        <w:tab/>
        <w:t xml:space="preserve">10/27/00 </w:t>
      </w:r>
      <w:r>
        <w:rPr>
          <w:sz w:val="16"/>
        </w:rPr>
        <w:t>93 FERC ¶ 61,101 (2000)</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pacing w:val="-3"/>
          <w:sz w:val="22"/>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4"/>
        </w:rPr>
        <w:t xml:space="preserve">.  </w:t>
      </w:r>
      <w:r>
        <w:rPr>
          <w:spacing w:val="-3"/>
          <w:sz w:val="22"/>
        </w:rPr>
        <w:t xml:space="preserve">On September 5, 2000, Northern filed a supplement to its environmental report to update information regarding landowners, river permits, and minor corrections to the report.  </w:t>
      </w:r>
      <w:r>
        <w:rPr>
          <w:sz w:val="22"/>
        </w:rPr>
        <w:t>Minnegasco filed a protest regarding Northern's request for rolled-in rate treatment of the incremental facilities.  Minnegasco argues that unless Northern provides contracts for the incremental capacity for a minimum of ten (10) years, the Commission should decline Northern's request for rolled-in rate treatment and leave in place the earlier certificate condition putting Northern at-risk for the incremental facilities. The NDG, UtiliCorp, and Viking filed vanilla interventions.</w:t>
      </w:r>
      <w:r>
        <w:rPr>
          <w:spacing w:val="-3"/>
          <w:sz w:val="22"/>
        </w:rPr>
        <w:t xml:space="preserve">  On September 18, 2000, Northern filed a response to Minnegasco's protest.  Northern argues that rolled-in pricing is appropriate for the expansion project under the Commission's Policy Statement.  On October 26, 2000, Northern filed its response to staff’s October 6</w:t>
      </w:r>
      <w:r>
        <w:rPr>
          <w:spacing w:val="-3"/>
          <w:sz w:val="22"/>
          <w:vertAlign w:val="superscript"/>
        </w:rPr>
        <w:t>th</w:t>
      </w:r>
      <w:r>
        <w:rPr>
          <w:spacing w:val="-3"/>
          <w:sz w:val="22"/>
        </w:rPr>
        <w:t xml:space="preserve"> environmental data request.</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Amendment Noticed:</w:t>
        <w:tab/>
        <w:tab/>
        <w:t>08/11/00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r>
      <w:r>
        <w:rPr>
          <w:b/>
          <w:sz w:val="22"/>
        </w:rPr>
        <w:t>Order Granting Amendment:</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 xml:space="preserve">Section 7(b) application for permission to abandon in-place compressor unit #9.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t xml:space="preserve"> 93 FERC ¶ 62,174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09/14/00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sz w:val="22"/>
        </w:rPr>
        <w:t>CP01-16</w:t>
      </w:r>
      <w:r>
        <w:rPr>
          <w:rFonts w:cs="Times New Roman" w:ascii="Times New Roman" w:hAnsi="Times New Roman"/>
          <w:b w:val="false"/>
          <w:sz w:val="22"/>
        </w:rPr>
        <w:tab/>
      </w:r>
      <w:r>
        <w:rPr>
          <w:rFonts w:cs="Times New Roman" w:ascii="Times New Roman" w:hAnsi="Times New Roman"/>
          <w:sz w:val="22"/>
        </w:rPr>
        <w:t xml:space="preserve">STEVENS CO. NO. 2, UNIT #12 ABANDONMENT - </w:t>
      </w:r>
      <w:r>
        <w:rPr>
          <w:rFonts w:cs="Times New Roman" w:ascii="Times New Roman" w:hAnsi="Times New Roman"/>
          <w:b w:val="false"/>
          <w:sz w:val="22"/>
        </w:rPr>
        <w:t>Section 7(b) application to abandon by removal unit 12 at the Stevens Co. No. 2 compressor station.  No parties intervened or protested this application.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10/19/00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10/26/00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11/16/00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sz w:val="22"/>
        </w:rPr>
        <w:tab/>
        <w:tab/>
        <w:tab/>
        <w:t>Order Approving Abandonment:</w:t>
        <w:tab/>
        <w:t>Pending</w:t>
      </w:r>
    </w:p>
    <w:p>
      <w:pPr>
        <w:pStyle w:val="Heading5"/>
        <w:rPr/>
      </w:pPr>
      <w:r>
        <w:rPr/>
        <w:t>Regulatory Analyst: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b/>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sz w:val="22"/>
        </w:rPr>
      </w:pPr>
      <w:r>
        <w:rPr>
          <w:rFonts w:cs="Times New Roman" w:ascii="Times New Roman" w:hAnsi="Times New Roman"/>
          <w:b w:val="false"/>
          <w:sz w:val="22"/>
        </w:rPr>
        <w:t>JOSIE</w:t>
      </w:r>
      <w:r>
        <w:rPr>
          <w:rFonts w:cs="Times New Roman" w:ascii="Times New Roman" w:hAnsi="Times New Roman"/>
          <w:sz w:val="22"/>
        </w:rPr>
        <w:tab/>
        <w:tab/>
        <w:t xml:space="preserve">OLSEN FARM TAP ABANDONMENT – </w:t>
      </w:r>
      <w:r>
        <w:rPr>
          <w:rFonts w:cs="Times New Roman" w:ascii="Times New Roman" w:hAnsi="Times New Roman"/>
          <w:b w:val="false"/>
          <w:sz w:val="22"/>
        </w:rPr>
        <w:t>Prior notice filing to abandon by sale to Peoples farm taps located in Minnesota.  Draft in progress.</w:t>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certain facilities nearSkellytown. Facilities include the Bobbitt, Haiduk, and McConnell compressor stations and downstream pipelines (approximately 10 miles of pipe).  These facilities are currently only providing service to farm tap users due a to failure of the pipeline in February 2000.  Also, included are the Burnett compressor station and downstream pipe.  Due to easement requirements, Northern currently proposes to sell the pipelines and remove the compressor stations.  Marketing is working with parties regarding the possible sale of the pipelines.  If negotiations are not completed for the sale, the pipelines will be removed.  In order to mitigate the financial impact, Northern will request a 5-year removal schedule for this abandonment.   Application is in progress.</w:t>
      </w:r>
    </w:p>
    <w:p>
      <w:pPr>
        <w:pStyle w:val="Normal"/>
        <w:rPr>
          <w:rFonts w:ascii="Times New Roman" w:hAnsi="Times New Roman" w:cs="Times New Roman"/>
          <w:b/>
          <w:sz w:val="22"/>
        </w:rPr>
      </w:pPr>
      <w:r>
        <w:rPr>
          <w:rFonts w:cs="Times New Roman"/>
          <w:b/>
          <w:sz w:val="22"/>
        </w:rPr>
      </w:r>
    </w:p>
    <w:p>
      <w:pPr>
        <w:pStyle w:val="Normal"/>
        <w:ind w:hanging="1440" w:start="1440" w:end="0"/>
        <w:rPr/>
      </w:pPr>
      <w:r>
        <w:rPr>
          <w:sz w:val="22"/>
        </w:rPr>
        <w:t>Bret</w:t>
        <w:tab/>
      </w:r>
      <w:r>
        <w:rPr>
          <w:b/>
          <w:sz w:val="22"/>
        </w:rPr>
        <w:t xml:space="preserve">MULLINVILLE UNITS #1-5 ABANDONMENT - </w:t>
      </w:r>
      <w:r>
        <w:rPr>
          <w:sz w:val="22"/>
        </w:rPr>
        <w:t>Section 7(b) filing to abandon, in place, compressor units #1-5 at Mullinville.  Application is in progress.</w:t>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sz w:val="22"/>
        </w:rPr>
        <w:t>DONNA</w:t>
      </w:r>
      <w:r>
        <w:rPr>
          <w:b/>
          <w:sz w:val="22"/>
        </w:rPr>
        <w:tab/>
        <w:t>GOMEZ SALE</w:t>
      </w:r>
      <w:r>
        <w:rPr>
          <w:sz w:val="22"/>
        </w:rPr>
        <w:t xml:space="preserve"> – Section 7(b) filing to abandon by sale to Western Gas Resources – Texas, Inc. (WGR) the Gomez facilities located in the Permian area of West Texas.  Facilities include the Gomez complex (including compressor station and treating facilities) and approximately 49 miles of downstream piping, the 16-inch Gomez to Mitchell line (approximately 34 miles), and the Oates dehy located at the abandoned Pecos Co. #2 compressor station site.  Draft application routed and submitted to WGR per the Asset Sale and Purchase Agreement.  Waiting on NNG shippers’ decision to delete POI 59 from their contracts.</w:t>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January 4,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Courier;Courier New" w:hAnsi="Courier;Courier New" w:cs="Courier;Courier New"/>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lang w:eastAsia="en-US"/>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2001-01-08T16:55:00Z</dcterms:created>
  <dc:creator>Enron</dc:creator>
  <dc:description/>
  <dc:language>en-CA</dc:language>
  <cp:lastModifiedBy>Enron</cp:lastModifiedBy>
  <cp:lastPrinted>2001-01-08T13:17:00Z</cp:lastPrinted>
  <dcterms:modified xsi:type="dcterms:W3CDTF">2001-01-08T16:55:00Z</dcterms:modified>
  <cp:revision>2</cp:revision>
  <dc:subject/>
  <dc:title>E T &amp; S</dc:title>
</cp:coreProperties>
</file>