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bCs/>
        </w:rPr>
      </w:pPr>
      <w:r>
        <w:rPr>
          <w:b/>
          <w:bCs/>
        </w:rPr>
        <w:t>JAD SESSION</w:t>
      </w:r>
    </w:p>
    <w:p>
      <w:pPr>
        <w:pStyle w:val="Normal"/>
        <w:jc w:val="center"/>
        <w:rPr>
          <w:b/>
          <w:bCs/>
          <w:sz w:val="28"/>
        </w:rPr>
      </w:pPr>
      <w:r>
        <w:rPr>
          <w:b/>
          <w:bCs/>
          <w:sz w:val="28"/>
        </w:rPr>
        <w:t>NOVEMBER 16 &amp; 17, 2000</w:t>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t>"FROM CANDLE WAX AND SEALS TO THE DIGITAL WORLD"</w:t>
      </w:r>
    </w:p>
    <w:p>
      <w:pPr>
        <w:pStyle w:val="Normal"/>
        <w:jc w:val="center"/>
        <w:rPr>
          <w:b/>
          <w:bCs/>
          <w:sz w:val="28"/>
        </w:rPr>
      </w:pPr>
      <w:r>
        <w:rPr>
          <w:b/>
          <w:bCs/>
          <w:sz w:val="28"/>
        </w:rPr>
        <w:t>(THE ENFORCEABILITY OF AGREEMENTS)</w:t>
      </w:r>
    </w:p>
    <w:p>
      <w:pPr>
        <w:pStyle w:val="Normal"/>
        <w:jc w:val="center"/>
        <w:rPr>
          <w:b/>
          <w:bCs/>
          <w:sz w:val="28"/>
        </w:rPr>
      </w:pPr>
      <w:r>
        <w:rPr>
          <w:b/>
          <w:bCs/>
          <w:sz w:val="28"/>
        </w:rPr>
      </w:r>
    </w:p>
    <w:p>
      <w:pPr>
        <w:pStyle w:val="Normal"/>
        <w:jc w:val="center"/>
        <w:rPr>
          <w:b/>
          <w:bCs/>
          <w:sz w:val="28"/>
        </w:rPr>
      </w:pPr>
      <w:r>
        <w:rPr>
          <w:b/>
          <w:bCs/>
          <w:sz w:val="28"/>
        </w:rPr>
        <w:t>AND</w:t>
      </w:r>
    </w:p>
    <w:p>
      <w:pPr>
        <w:pStyle w:val="Normal"/>
        <w:jc w:val="center"/>
        <w:rPr>
          <w:b/>
          <w:bCs/>
          <w:sz w:val="28"/>
        </w:rPr>
      </w:pPr>
      <w:r>
        <w:rPr>
          <w:b/>
          <w:bCs/>
          <w:sz w:val="28"/>
        </w:rPr>
      </w:r>
    </w:p>
    <w:p>
      <w:pPr>
        <w:pStyle w:val="Normal"/>
        <w:jc w:val="center"/>
        <w:rPr>
          <w:b/>
          <w:bCs/>
          <w:sz w:val="28"/>
        </w:rPr>
      </w:pPr>
      <w:r>
        <w:rPr>
          <w:b/>
          <w:bCs/>
          <w:sz w:val="28"/>
        </w:rPr>
        <w:t>"THE DUEL"</w:t>
      </w:r>
    </w:p>
    <w:p>
      <w:pPr>
        <w:pStyle w:val="Normal"/>
        <w:jc w:val="center"/>
        <w:rPr>
          <w:b/>
          <w:bCs/>
          <w:sz w:val="28"/>
        </w:rPr>
      </w:pPr>
      <w:r>
        <w:rPr>
          <w:b/>
          <w:bCs/>
          <w:sz w:val="28"/>
        </w:rPr>
        <w:t>“</w:t>
      </w:r>
      <w:r>
        <w:rPr>
          <w:b/>
          <w:bCs/>
          <w:sz w:val="28"/>
        </w:rPr>
        <w:t>I SAID 2,000” “YOU SAID 20,000”</w:t>
      </w:r>
    </w:p>
    <w:p>
      <w:pPr>
        <w:pStyle w:val="Normal"/>
        <w:jc w:val="center"/>
        <w:rPr>
          <w:b/>
          <w:bCs/>
          <w:sz w:val="28"/>
        </w:rPr>
      </w:pPr>
      <w:r>
        <w:rPr>
          <w:b/>
          <w:bCs/>
          <w:sz w:val="28"/>
        </w:rPr>
        <w:t>(THE PROOF AT COURT)</w:t>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t>A DISCUSSION OUTLINE</w:t>
      </w:r>
    </w:p>
    <w:p>
      <w:pPr>
        <w:pStyle w:val="Normal"/>
        <w:jc w:val="center"/>
        <w:rPr>
          <w:b/>
          <w:bCs/>
          <w:sz w:val="28"/>
        </w:rPr>
      </w:pPr>
      <w:r>
        <w:rPr>
          <w:b/>
          <w:bCs/>
          <w:sz w:val="28"/>
        </w:rPr>
        <w:t>FOR</w:t>
      </w:r>
    </w:p>
    <w:p>
      <w:pPr>
        <w:pStyle w:val="Normal"/>
        <w:jc w:val="center"/>
        <w:rPr>
          <w:b/>
          <w:bCs/>
          <w:sz w:val="28"/>
        </w:rPr>
      </w:pPr>
      <w:r>
        <w:rPr>
          <w:b/>
          <w:bCs/>
          <w:sz w:val="28"/>
        </w:rPr>
        <w:t xml:space="preserve">LEGAL CONSIDERATIONS </w:t>
      </w:r>
    </w:p>
    <w:p>
      <w:pPr>
        <w:pStyle w:val="Normal"/>
        <w:jc w:val="center"/>
        <w:rPr>
          <w:b/>
          <w:bCs/>
          <w:sz w:val="28"/>
        </w:rPr>
      </w:pPr>
      <w:r>
        <w:rPr>
          <w:b/>
          <w:bCs/>
          <w:sz w:val="28"/>
        </w:rPr>
      </w:r>
    </w:p>
    <w:p>
      <w:pPr>
        <w:pStyle w:val="Normal"/>
        <w:jc w:val="center"/>
        <w:rPr>
          <w:b/>
          <w:bCs/>
          <w:sz w:val="28"/>
        </w:rPr>
      </w:pPr>
      <w:r>
        <w:rPr>
          <w:b/>
          <w:bCs/>
          <w:sz w:val="28"/>
        </w:rPr>
        <w:t>(BUSINESS TO BUSINESS U.S. TRANSACTIONS ONLY;</w:t>
      </w:r>
    </w:p>
    <w:p>
      <w:pPr>
        <w:pStyle w:val="Normal"/>
        <w:jc w:val="center"/>
        <w:rPr>
          <w:b/>
          <w:bCs/>
          <w:sz w:val="28"/>
        </w:rPr>
      </w:pPr>
      <w:r>
        <w:rPr>
          <w:b/>
          <w:bCs/>
          <w:sz w:val="28"/>
        </w:rPr>
        <w:t>THIS SUMMARY DOES NOT ADDRESS CONSUMER ISSUES)</w:t>
      </w:r>
    </w:p>
    <w:p>
      <w:pPr>
        <w:pStyle w:val="Normal"/>
        <w:jc w:val="center"/>
        <w:rPr>
          <w:b/>
          <w:bCs/>
          <w:sz w:val="28"/>
        </w:rPr>
      </w:pPr>
      <w:r>
        <w:rPr>
          <w:b/>
          <w:bCs/>
          <w:sz w:val="28"/>
        </w:rPr>
      </w:r>
    </w:p>
    <w:p>
      <w:pPr>
        <w:pStyle w:val="Normal"/>
        <w:jc w:val="center"/>
        <w:rPr>
          <w:b/>
          <w:bCs/>
          <w:sz w:val="28"/>
        </w:rPr>
      </w:pPr>
      <w:r>
        <w:rPr>
          <w:b/>
          <w:bCs/>
          <w:sz w:val="28"/>
        </w:rPr>
      </w:r>
    </w:p>
    <w:p>
      <w:pPr>
        <w:pStyle w:val="Normal"/>
        <w:jc w:val="center"/>
        <w:rPr>
          <w:b/>
          <w:bCs/>
          <w:sz w:val="28"/>
        </w:rPr>
      </w:pPr>
      <w:r>
        <w:rPr>
          <w:b/>
          <w:bCs/>
          <w:sz w:val="28"/>
        </w:rPr>
        <w:t>MARY COOK, ENA LEGAL</w:t>
      </w:r>
    </w:p>
    <w:p>
      <w:pPr>
        <w:pStyle w:val="Normal"/>
        <w:jc w:val="center"/>
        <w:rPr>
          <w:b/>
          <w:bCs/>
          <w:sz w:val="28"/>
        </w:rPr>
      </w:pPr>
      <w:r>
        <w:rPr>
          <w:b/>
          <w:bCs/>
          <w:sz w:val="28"/>
        </w:rPr>
      </w:r>
    </w:p>
    <w:p>
      <w:pPr>
        <w:pStyle w:val="Normal"/>
        <w:jc w:val="center"/>
        <w:rPr>
          <w:b/>
          <w:bCs/>
          <w:sz w:val="28"/>
        </w:rPr>
      </w:pPr>
      <w:r>
        <w:rPr>
          <w:b/>
          <w:bCs/>
          <w:sz w:val="28"/>
        </w:rPr>
      </w:r>
      <w:r>
        <w:br w:type="page"/>
      </w:r>
    </w:p>
    <w:p>
      <w:pPr>
        <w:pStyle w:val="Normal"/>
        <w:jc w:val="center"/>
        <w:rPr>
          <w:i/>
          <w:i/>
          <w:iCs/>
          <w:sz w:val="28"/>
        </w:rPr>
      </w:pPr>
      <w:r>
        <w:rPr>
          <w:b/>
          <w:bCs/>
          <w:i/>
          <w:iCs/>
          <w:sz w:val="28"/>
        </w:rPr>
        <w:t xml:space="preserve"> </w:t>
      </w:r>
      <w:r>
        <w:rPr>
          <w:b/>
          <w:bCs/>
          <w:i/>
          <w:iCs/>
          <w:sz w:val="28"/>
        </w:rPr>
        <w:t>BUSINESS, ACCOUNTING, SETTLEMENT, AND LEGAL REQUIREMENTS</w:t>
      </w:r>
    </w:p>
    <w:p>
      <w:pPr>
        <w:pStyle w:val="Normal"/>
        <w:jc w:val="center"/>
        <w:rPr>
          <w:i/>
          <w:i/>
          <w:iCs/>
          <w:sz w:val="22"/>
        </w:rPr>
      </w:pPr>
      <w:r>
        <w:rPr>
          <w:i/>
          <w:iCs/>
          <w:sz w:val="22"/>
        </w:rPr>
      </w:r>
    </w:p>
    <w:p>
      <w:pPr>
        <w:pStyle w:val="Normal"/>
        <w:jc w:val="both"/>
        <w:rPr>
          <w:b/>
          <w:bCs/>
          <w:sz w:val="22"/>
        </w:rPr>
      </w:pPr>
      <w:r>
        <w:rPr>
          <w:sz w:val="22"/>
        </w:rPr>
        <w:t xml:space="preserve">● </w:t>
      </w:r>
      <w:r>
        <w:rPr>
          <w:b/>
          <w:bCs/>
          <w:sz w:val="22"/>
        </w:rPr>
        <w:t xml:space="preserve">The Big 4 </w:t>
      </w:r>
      <w:r>
        <w:rPr>
          <w:sz w:val="22"/>
        </w:rPr>
        <w:t xml:space="preserve">requirements supporting transactions do not change  </w:t>
      </w:r>
    </w:p>
    <w:p>
      <w:pPr>
        <w:pStyle w:val="Normal"/>
        <w:jc w:val="both"/>
        <w:rPr>
          <w:sz w:val="22"/>
        </w:rPr>
      </w:pPr>
      <w:r>
        <w:rPr>
          <w:sz w:val="22"/>
        </w:rPr>
        <w:tab/>
        <w:t>"meeting of the minds"</w:t>
      </w:r>
    </w:p>
    <w:p>
      <w:pPr>
        <w:pStyle w:val="Normal"/>
        <w:jc w:val="both"/>
        <w:rPr>
          <w:sz w:val="22"/>
        </w:rPr>
      </w:pPr>
      <w:r>
        <w:rPr>
          <w:sz w:val="22"/>
        </w:rPr>
        <w:tab/>
        <w:t xml:space="preserve">accounting and audit trail </w:t>
      </w:r>
    </w:p>
    <w:p>
      <w:pPr>
        <w:pStyle w:val="Normal"/>
        <w:jc w:val="both"/>
        <w:rPr>
          <w:sz w:val="22"/>
        </w:rPr>
      </w:pPr>
      <w:r>
        <w:rPr>
          <w:sz w:val="22"/>
        </w:rPr>
        <w:tab/>
        <w:t>billing and payment</w:t>
      </w:r>
    </w:p>
    <w:p>
      <w:pPr>
        <w:pStyle w:val="Normal"/>
        <w:jc w:val="both"/>
        <w:rPr>
          <w:sz w:val="22"/>
        </w:rPr>
      </w:pPr>
      <w:r>
        <w:rPr>
          <w:sz w:val="22"/>
        </w:rPr>
        <w:tab/>
        <w:t>enforceability and record retention to meet statutory requirements and for proof</w:t>
      </w:r>
    </w:p>
    <w:p>
      <w:pPr>
        <w:pStyle w:val="Normal"/>
        <w:jc w:val="both"/>
        <w:rPr>
          <w:sz w:val="22"/>
        </w:rPr>
      </w:pPr>
      <w:r>
        <w:rPr>
          <w:sz w:val="22"/>
        </w:rPr>
      </w:r>
    </w:p>
    <w:p>
      <w:pPr>
        <w:pStyle w:val="Normal"/>
        <w:jc w:val="both"/>
        <w:rPr/>
      </w:pPr>
      <w:r>
        <w:rPr>
          <w:sz w:val="22"/>
        </w:rPr>
        <w:t xml:space="preserve">● </w:t>
      </w:r>
      <w:r>
        <w:rPr>
          <w:sz w:val="22"/>
        </w:rPr>
        <w:t>Increase efficiencies in accomplishing The Big 4 by use of e-commerce technology</w:t>
      </w:r>
    </w:p>
    <w:p>
      <w:pPr>
        <w:pStyle w:val="Normal"/>
        <w:jc w:val="center"/>
        <w:rPr>
          <w:b/>
          <w:bCs/>
          <w:sz w:val="22"/>
        </w:rPr>
      </w:pPr>
      <w:r>
        <w:rPr>
          <w:b/>
          <w:bCs/>
          <w:sz w:val="22"/>
        </w:rPr>
      </w:r>
    </w:p>
    <w:p>
      <w:pPr>
        <w:pStyle w:val="Normal"/>
        <w:jc w:val="center"/>
        <w:rPr>
          <w:b/>
          <w:bCs/>
          <w:i/>
          <w:i/>
          <w:iCs/>
          <w:sz w:val="28"/>
        </w:rPr>
      </w:pPr>
      <w:r>
        <w:rPr>
          <w:b/>
          <w:bCs/>
          <w:i/>
          <w:iCs/>
          <w:sz w:val="28"/>
        </w:rPr>
        <w:t>LEGAL HISTORY—THE OLD LANDSCAPE</w:t>
      </w:r>
    </w:p>
    <w:p>
      <w:pPr>
        <w:pStyle w:val="Normal"/>
        <w:jc w:val="both"/>
        <w:rPr>
          <w:b/>
          <w:bCs/>
          <w:i/>
          <w:i/>
          <w:iCs/>
          <w:sz w:val="22"/>
        </w:rPr>
      </w:pPr>
      <w:r>
        <w:rPr>
          <w:b/>
          <w:bCs/>
          <w:i/>
          <w:iCs/>
          <w:sz w:val="22"/>
        </w:rPr>
      </w:r>
    </w:p>
    <w:p>
      <w:pPr>
        <w:pStyle w:val="Normal"/>
        <w:jc w:val="both"/>
        <w:rPr>
          <w:b/>
          <w:bCs/>
          <w:sz w:val="22"/>
          <w:u w:val="single"/>
        </w:rPr>
      </w:pPr>
      <w:r>
        <w:rPr>
          <w:b/>
          <w:bCs/>
          <w:sz w:val="22"/>
          <w:u w:val="single"/>
        </w:rPr>
        <w:t>CONTRACT FORMATION AND ENFORCEABILITY</w:t>
      </w:r>
    </w:p>
    <w:p>
      <w:pPr>
        <w:pStyle w:val="Normal"/>
        <w:jc w:val="both"/>
        <w:rPr>
          <w:sz w:val="22"/>
        </w:rPr>
      </w:pPr>
      <w:r>
        <w:rPr>
          <w:sz w:val="22"/>
        </w:rPr>
        <w:t xml:space="preserve">● </w:t>
      </w:r>
      <w:r>
        <w:rPr>
          <w:sz w:val="22"/>
        </w:rPr>
        <w:t>Contract formation requires a "meeting of the minds" evidenced in some manner</w:t>
      </w:r>
    </w:p>
    <w:p>
      <w:pPr>
        <w:pStyle w:val="Normal"/>
        <w:jc w:val="both"/>
        <w:rPr>
          <w:sz w:val="22"/>
        </w:rPr>
      </w:pPr>
      <w:r>
        <w:rPr>
          <w:sz w:val="22"/>
        </w:rPr>
      </w:r>
    </w:p>
    <w:p>
      <w:pPr>
        <w:pStyle w:val="Normal"/>
        <w:jc w:val="both"/>
        <w:rPr/>
      </w:pPr>
      <w:r>
        <w:rPr>
          <w:sz w:val="22"/>
        </w:rPr>
        <w:t xml:space="preserve">● </w:t>
      </w:r>
      <w:r>
        <w:rPr>
          <w:sz w:val="22"/>
        </w:rPr>
        <w:t xml:space="preserve">Various Statute of Frauds ("SF") developed with respect to different types of transactions which generally require that the relevant transaction be in writing or "capable of being reduced to tangible form," signed or "authenticated" by the parties, and containing the material terms.  </w:t>
      </w:r>
      <w:r>
        <w:rPr>
          <w:b/>
          <w:bCs/>
          <w:sz w:val="22"/>
        </w:rPr>
        <w:t>If a transaction does not comply with the SF, either party may successfully claim the transaction is not enforceable.</w:t>
      </w:r>
    </w:p>
    <w:p>
      <w:pPr>
        <w:pStyle w:val="Normal"/>
        <w:jc w:val="both"/>
        <w:rPr>
          <w:b/>
          <w:bCs/>
          <w:sz w:val="22"/>
        </w:rPr>
      </w:pPr>
      <w:r>
        <w:rPr>
          <w:b/>
          <w:bCs/>
          <w:sz w:val="22"/>
        </w:rPr>
      </w:r>
    </w:p>
    <w:p>
      <w:pPr>
        <w:pStyle w:val="Normal"/>
        <w:jc w:val="both"/>
        <w:rPr>
          <w:sz w:val="22"/>
        </w:rPr>
      </w:pPr>
      <w:r>
        <w:rPr>
          <w:sz w:val="22"/>
        </w:rPr>
        <w:t xml:space="preserve">●   </w:t>
      </w:r>
      <w:r>
        <w:rPr>
          <w:sz w:val="22"/>
        </w:rPr>
        <w:t>SF applied to Enron major trading businesses:</w:t>
      </w:r>
    </w:p>
    <w:p>
      <w:pPr>
        <w:pStyle w:val="Normal"/>
        <w:ind w:start="720" w:end="0"/>
        <w:jc w:val="both"/>
        <w:rPr/>
      </w:pPr>
      <w:r>
        <w:rPr>
          <w:b/>
          <w:bCs/>
          <w:sz w:val="22"/>
        </w:rPr>
        <w:t>Gas trading</w:t>
      </w:r>
      <w:r>
        <w:rPr>
          <w:sz w:val="22"/>
        </w:rPr>
        <w:t>: Gas is a "good" subject to the Uniform Commercial Code ("UCC") in various jurisdictions requiring a signed writing (if transaction &gt;$500).</w:t>
      </w:r>
    </w:p>
    <w:p>
      <w:pPr>
        <w:pStyle w:val="Normal"/>
        <w:ind w:start="720" w:end="0"/>
        <w:jc w:val="both"/>
        <w:rPr>
          <w:b/>
          <w:bCs/>
          <w:sz w:val="22"/>
        </w:rPr>
      </w:pPr>
      <w:r>
        <w:rPr>
          <w:sz w:val="22"/>
        </w:rPr>
        <w:t xml:space="preserve">UCC Merchant Exception: use of confirms (not requiring countersignature) with waiting periods to meet SF.  Used primarily with phone trades. </w:t>
      </w:r>
    </w:p>
    <w:p>
      <w:pPr>
        <w:pStyle w:val="Normal"/>
        <w:ind w:start="720" w:end="0"/>
        <w:jc w:val="both"/>
        <w:rPr/>
      </w:pPr>
      <w:r>
        <w:rPr>
          <w:b/>
          <w:bCs/>
          <w:sz w:val="22"/>
        </w:rPr>
        <w:t>Power trading</w:t>
      </w:r>
      <w:r>
        <w:rPr>
          <w:sz w:val="22"/>
        </w:rPr>
        <w:t xml:space="preserve">:  Electricity is a "good" subject to the UCC in certain states, but not others, and some states are inconclusive.  If subject to UCC, the same rules apply as those for gas.  If not subject to UCC, common law rules apply.  Common law (i) requires a signed writing for transactions not </w:t>
      </w:r>
      <w:r>
        <w:rPr>
          <w:b/>
          <w:bCs/>
          <w:sz w:val="22"/>
        </w:rPr>
        <w:t>fully</w:t>
      </w:r>
      <w:r>
        <w:rPr>
          <w:sz w:val="22"/>
        </w:rPr>
        <w:t xml:space="preserve"> performable, including payments, within 1 year from the </w:t>
      </w:r>
      <w:r>
        <w:rPr>
          <w:b/>
          <w:bCs/>
          <w:sz w:val="22"/>
        </w:rPr>
        <w:t>date entered</w:t>
      </w:r>
      <w:r>
        <w:rPr>
          <w:sz w:val="22"/>
        </w:rPr>
        <w:t xml:space="preserve"> and (ii) has no exception similar to the UCC Merchant Exception.</w:t>
      </w:r>
    </w:p>
    <w:p>
      <w:pPr>
        <w:pStyle w:val="Normal"/>
        <w:ind w:start="720" w:end="0"/>
        <w:jc w:val="both"/>
        <w:rPr/>
      </w:pPr>
      <w:r>
        <w:rPr>
          <w:b/>
          <w:bCs/>
          <w:sz w:val="22"/>
        </w:rPr>
        <w:t>Financial Derivative trading</w:t>
      </w:r>
      <w:r>
        <w:rPr>
          <w:sz w:val="22"/>
        </w:rPr>
        <w:t>:  Common law applies.</w:t>
      </w:r>
    </w:p>
    <w:p>
      <w:pPr>
        <w:pStyle w:val="Normal"/>
        <w:ind w:start="720" w:end="0"/>
        <w:jc w:val="both"/>
        <w:rPr>
          <w:sz w:val="22"/>
        </w:rPr>
      </w:pPr>
      <w:r>
        <w:rPr>
          <w:sz w:val="22"/>
        </w:rPr>
      </w:r>
    </w:p>
    <w:p>
      <w:pPr>
        <w:pStyle w:val="Normal"/>
        <w:jc w:val="both"/>
        <w:rPr>
          <w:b/>
          <w:bCs/>
          <w:sz w:val="22"/>
          <w:u w:val="single"/>
        </w:rPr>
      </w:pPr>
      <w:r>
        <w:rPr>
          <w:b/>
          <w:bCs/>
          <w:sz w:val="22"/>
          <w:u w:val="single"/>
        </w:rPr>
        <w:t>PROOF OF CONTRACT</w:t>
      </w:r>
    </w:p>
    <w:p>
      <w:pPr>
        <w:pStyle w:val="Normal"/>
        <w:jc w:val="both"/>
        <w:rPr>
          <w:sz w:val="22"/>
        </w:rPr>
      </w:pPr>
      <w:r>
        <w:rPr>
          <w:sz w:val="22"/>
        </w:rPr>
        <w:t xml:space="preserve">● </w:t>
      </w:r>
      <w:r>
        <w:rPr>
          <w:sz w:val="22"/>
        </w:rPr>
        <w:t>The law requires "best evidence" and where SF applies, an original writing signed by the parties.  UCC Merchant Exception allows use of confirm for proof.</w:t>
      </w:r>
    </w:p>
    <w:p>
      <w:pPr>
        <w:pStyle w:val="Normal"/>
        <w:jc w:val="both"/>
        <w:rPr>
          <w:b/>
          <w:bCs/>
          <w:sz w:val="22"/>
        </w:rPr>
      </w:pPr>
      <w:r>
        <w:rPr>
          <w:b/>
          <w:bCs/>
          <w:sz w:val="22"/>
        </w:rPr>
      </w:r>
    </w:p>
    <w:p>
      <w:pPr>
        <w:pStyle w:val="Normal"/>
        <w:jc w:val="both"/>
        <w:rPr/>
      </w:pPr>
      <w:r>
        <w:rPr>
          <w:b/>
          <w:bCs/>
          <w:sz w:val="22"/>
          <w:u w:val="single"/>
        </w:rPr>
        <w:t>LEGAL TERMINOLOGY VERSUS BUSINESS TERMINOLOGY</w:t>
      </w:r>
    </w:p>
    <w:p>
      <w:pPr>
        <w:pStyle w:val="Normal"/>
        <w:jc w:val="both"/>
        <w:rPr>
          <w:sz w:val="22"/>
        </w:rPr>
      </w:pPr>
      <w:r>
        <w:rPr>
          <w:sz w:val="22"/>
        </w:rPr>
        <w:t xml:space="preserve">● </w:t>
      </w:r>
      <w:r>
        <w:rPr>
          <w:sz w:val="22"/>
        </w:rPr>
        <w:t>Legal:  Confirmation is a term generally derived from the UCC Merchant Exception:</w:t>
      </w:r>
    </w:p>
    <w:p>
      <w:pPr>
        <w:pStyle w:val="Normal"/>
        <w:jc w:val="both"/>
        <w:rPr/>
      </w:pPr>
      <w:r>
        <w:rPr>
          <w:sz w:val="22"/>
        </w:rPr>
        <w:t>"a writing sufficient against the sender . . .satisfies the [SF] against [the counterparty] unless written notice of objection . .is given within ten days. . ."  This type of confirmation does not require counterparty signature.</w:t>
      </w:r>
    </w:p>
    <w:p>
      <w:pPr>
        <w:pStyle w:val="Normal"/>
        <w:jc w:val="both"/>
        <w:rPr>
          <w:sz w:val="22"/>
        </w:rPr>
      </w:pPr>
      <w:r>
        <w:rPr>
          <w:sz w:val="22"/>
        </w:rPr>
      </w:r>
    </w:p>
    <w:p>
      <w:pPr>
        <w:pStyle w:val="Normal"/>
        <w:jc w:val="both"/>
        <w:rPr>
          <w:sz w:val="22"/>
        </w:rPr>
      </w:pPr>
      <w:r>
        <w:rPr>
          <w:sz w:val="22"/>
        </w:rPr>
        <w:t xml:space="preserve">● </w:t>
      </w:r>
      <w:r>
        <w:rPr>
          <w:sz w:val="22"/>
        </w:rPr>
        <w:t>Business: Confirmation is a term used more generically to include the foregoing, as well as documents used to serve as a contract with both parties signing.</w:t>
      </w:r>
      <w:r>
        <w:br w:type="page"/>
      </w:r>
    </w:p>
    <w:p>
      <w:pPr>
        <w:pStyle w:val="Normal"/>
        <w:jc w:val="center"/>
        <w:rPr/>
      </w:pPr>
      <w:r>
        <w:rPr>
          <w:b/>
          <w:bCs/>
          <w:i/>
          <w:iCs/>
          <w:sz w:val="28"/>
        </w:rPr>
        <w:t>RECENT E-COMMERCE LEGISLATION</w:t>
      </w:r>
    </w:p>
    <w:p>
      <w:pPr>
        <w:pStyle w:val="Normal"/>
        <w:rPr>
          <w:b/>
          <w:bCs/>
          <w:i/>
          <w:i/>
          <w:iCs/>
          <w:sz w:val="22"/>
        </w:rPr>
      </w:pPr>
      <w:r>
        <w:rPr>
          <w:b/>
          <w:bCs/>
          <w:i/>
          <w:iCs/>
          <w:sz w:val="22"/>
        </w:rPr>
      </w:r>
    </w:p>
    <w:p>
      <w:pPr>
        <w:pStyle w:val="Normal"/>
        <w:rPr>
          <w:b/>
          <w:bCs/>
          <w:caps/>
          <w:sz w:val="22"/>
          <w:u w:val="single"/>
        </w:rPr>
      </w:pPr>
      <w:r>
        <w:rPr>
          <w:b/>
          <w:bCs/>
          <w:caps/>
          <w:sz w:val="22"/>
          <w:u w:val="single"/>
        </w:rPr>
        <w:t>The Electronic Signature in Global and National Commerce Act</w:t>
      </w:r>
    </w:p>
    <w:p>
      <w:pPr>
        <w:pStyle w:val="Normal"/>
        <w:jc w:val="both"/>
        <w:rPr>
          <w:sz w:val="22"/>
        </w:rPr>
      </w:pPr>
      <w:r>
        <w:rPr>
          <w:sz w:val="22"/>
        </w:rPr>
        <w:t>(Federal law effective October 1, 2000, record retention requirements effective March 1, 2001)</w:t>
      </w:r>
    </w:p>
    <w:p>
      <w:pPr>
        <w:pStyle w:val="Normal"/>
        <w:ind w:hanging="720" w:start="1440" w:end="0"/>
        <w:jc w:val="both"/>
        <w:rPr>
          <w:b/>
          <w:bCs/>
          <w:sz w:val="22"/>
        </w:rPr>
      </w:pPr>
      <w:r>
        <w:rPr>
          <w:b/>
          <w:bCs/>
          <w:sz w:val="22"/>
        </w:rPr>
      </w:r>
    </w:p>
    <w:p>
      <w:pPr>
        <w:pStyle w:val="Normal"/>
        <w:jc w:val="both"/>
        <w:rPr>
          <w:b/>
          <w:bCs/>
          <w:sz w:val="22"/>
        </w:rPr>
      </w:pPr>
      <w:r>
        <w:rPr>
          <w:b/>
          <w:bCs/>
          <w:sz w:val="22"/>
        </w:rPr>
        <w:t xml:space="preserve">● </w:t>
      </w:r>
      <w:r>
        <w:rPr>
          <w:b/>
          <w:bCs/>
          <w:sz w:val="22"/>
        </w:rPr>
        <w:t>E-Sign</w:t>
      </w:r>
    </w:p>
    <w:p>
      <w:pPr>
        <w:pStyle w:val="BodyTextIndent"/>
        <w:ind w:hanging="0" w:start="720" w:end="0"/>
        <w:jc w:val="both"/>
        <w:rPr/>
      </w:pPr>
      <w:r>
        <w:rPr>
          <w:sz w:val="22"/>
        </w:rPr>
        <w:t xml:space="preserve">a </w:t>
      </w:r>
      <w:r>
        <w:rPr>
          <w:b/>
          <w:bCs/>
          <w:sz w:val="22"/>
        </w:rPr>
        <w:t>signature, contract or record</w:t>
      </w:r>
      <w:r>
        <w:rPr>
          <w:sz w:val="22"/>
        </w:rPr>
        <w:t xml:space="preserve"> relating to a transaction may not be denied legal effect, validity or enforceability simply because it is in </w:t>
      </w:r>
      <w:r>
        <w:rPr>
          <w:b/>
          <w:bCs/>
          <w:sz w:val="22"/>
        </w:rPr>
        <w:t>electronic form</w:t>
      </w:r>
      <w:r>
        <w:rPr>
          <w:sz w:val="22"/>
        </w:rPr>
        <w:t xml:space="preserve">; and a </w:t>
      </w:r>
      <w:r>
        <w:rPr>
          <w:b/>
          <w:bCs/>
          <w:sz w:val="22"/>
        </w:rPr>
        <w:t>contract</w:t>
      </w:r>
      <w:r>
        <w:rPr>
          <w:sz w:val="22"/>
        </w:rPr>
        <w:t xml:space="preserve"> relating to such transaction may not be denied legal effect, validity or enforceability solely because an </w:t>
      </w:r>
      <w:r>
        <w:rPr>
          <w:b/>
          <w:bCs/>
          <w:sz w:val="22"/>
        </w:rPr>
        <w:t>electronic signature or electronic record</w:t>
      </w:r>
      <w:r>
        <w:rPr>
          <w:sz w:val="22"/>
        </w:rPr>
        <w:t xml:space="preserve"> was used in its formation</w:t>
      </w:r>
    </w:p>
    <w:p>
      <w:pPr>
        <w:pStyle w:val="BodyTextIndent"/>
        <w:ind w:hanging="0" w:start="0" w:end="0"/>
        <w:jc w:val="both"/>
        <w:rPr>
          <w:sz w:val="22"/>
        </w:rPr>
      </w:pPr>
      <w:r>
        <w:rPr>
          <w:sz w:val="22"/>
        </w:rPr>
      </w:r>
    </w:p>
    <w:p>
      <w:pPr>
        <w:pStyle w:val="Normal"/>
        <w:jc w:val="both"/>
        <w:rPr>
          <w:b/>
          <w:bCs/>
          <w:sz w:val="22"/>
        </w:rPr>
      </w:pPr>
      <w:r>
        <w:rPr>
          <w:b/>
          <w:bCs/>
          <w:sz w:val="22"/>
        </w:rPr>
        <w:t xml:space="preserve">●  </w:t>
      </w:r>
      <w:r>
        <w:rPr>
          <w:b/>
          <w:bCs/>
          <w:sz w:val="22"/>
        </w:rPr>
        <w:t>Core Provisions of E-Sign</w:t>
      </w:r>
    </w:p>
    <w:p>
      <w:pPr>
        <w:pStyle w:val="BodyTextIndent"/>
        <w:ind w:hanging="0" w:start="720" w:end="0"/>
        <w:jc w:val="both"/>
        <w:rPr>
          <w:sz w:val="22"/>
        </w:rPr>
      </w:pPr>
      <w:r>
        <w:rPr>
          <w:sz w:val="22"/>
        </w:rPr>
        <w:t xml:space="preserve">no party is required to agree to use or accept electronic signature or electronic records; counterparties must agree to utilize the electronics; </w:t>
      </w:r>
    </w:p>
    <w:p>
      <w:pPr>
        <w:pStyle w:val="Normal"/>
        <w:ind w:hanging="720" w:start="720" w:end="0"/>
        <w:jc w:val="both"/>
        <w:rPr>
          <w:b/>
          <w:bCs/>
          <w:sz w:val="22"/>
        </w:rPr>
      </w:pPr>
      <w:r>
        <w:rPr>
          <w:b/>
          <w:bCs/>
          <w:sz w:val="22"/>
        </w:rPr>
      </w:r>
    </w:p>
    <w:p>
      <w:pPr>
        <w:pStyle w:val="BodyTextIndent"/>
        <w:ind w:hanging="0" w:start="720" w:end="0"/>
        <w:jc w:val="both"/>
        <w:rPr>
          <w:sz w:val="22"/>
        </w:rPr>
      </w:pPr>
      <w:r>
        <w:rPr>
          <w:sz w:val="22"/>
        </w:rPr>
        <w:t>the form of "electronic signature" is to be agreed by the parties</w:t>
      </w:r>
    </w:p>
    <w:p>
      <w:pPr>
        <w:pStyle w:val="Normal"/>
        <w:jc w:val="both"/>
        <w:rPr>
          <w:sz w:val="22"/>
        </w:rPr>
      </w:pPr>
      <w:r>
        <w:rPr>
          <w:sz w:val="22"/>
        </w:rPr>
      </w:r>
    </w:p>
    <w:p>
      <w:pPr>
        <w:pStyle w:val="BodyTextIndent"/>
        <w:ind w:hanging="0" w:start="720" w:end="0"/>
        <w:jc w:val="both"/>
        <w:rPr/>
      </w:pPr>
      <w:r>
        <w:rPr>
          <w:b/>
          <w:bCs/>
          <w:sz w:val="22"/>
        </w:rPr>
        <w:t>"electronic"</w:t>
      </w:r>
      <w:r>
        <w:rPr>
          <w:sz w:val="22"/>
        </w:rPr>
        <w:t xml:space="preserve"> means relating to technology having electrical, digital, magnetic, wireless, optical, electromagnetic, or similar capabilities.  (This is not construed to include use of phone.)</w:t>
      </w:r>
    </w:p>
    <w:p>
      <w:pPr>
        <w:pStyle w:val="Normal"/>
        <w:ind w:start="720" w:end="0"/>
        <w:jc w:val="both"/>
        <w:rPr/>
      </w:pPr>
      <w:r>
        <w:rPr>
          <w:sz w:val="22"/>
        </w:rPr>
        <w:t xml:space="preserve"> </w:t>
      </w:r>
      <w:r>
        <w:rPr>
          <w:b/>
          <w:bCs/>
          <w:sz w:val="22"/>
        </w:rPr>
        <w:t>"electronic agent"</w:t>
      </w:r>
      <w:r>
        <w:rPr>
          <w:sz w:val="22"/>
        </w:rPr>
        <w:t xml:space="preserve"> means a computer program or an electronic or other automated means used independently to initiate an action or respond to electronic records or performances in whole or part, without review or action by an individual at the time of the action or response.</w:t>
      </w:r>
    </w:p>
    <w:p>
      <w:pPr>
        <w:pStyle w:val="BodyTextIndent"/>
        <w:ind w:hanging="0" w:start="720" w:end="0"/>
        <w:jc w:val="both"/>
        <w:rPr/>
      </w:pPr>
      <w:r>
        <w:rPr>
          <w:b/>
          <w:bCs/>
          <w:sz w:val="22"/>
        </w:rPr>
        <w:t>"electronic signature"</w:t>
      </w:r>
      <w:r>
        <w:rPr>
          <w:sz w:val="22"/>
        </w:rPr>
        <w:t xml:space="preserve"> means an electronic sound, symbol, or process attached to or logically associated with a contract or record and executed or adopted by a person with the intent to sign the contract or record.</w:t>
        <w:tab/>
        <w:t>(Should be in a format evidencing intent such as "I Agree" button)</w:t>
      </w:r>
    </w:p>
    <w:p>
      <w:pPr>
        <w:pStyle w:val="BodyTextIndent"/>
        <w:ind w:hanging="0" w:start="720" w:end="0"/>
        <w:jc w:val="both"/>
        <w:rPr/>
      </w:pPr>
      <w:r>
        <w:rPr>
          <w:b/>
          <w:bCs/>
          <w:sz w:val="22"/>
        </w:rPr>
        <w:t>"transaction"</w:t>
      </w:r>
      <w:r>
        <w:rPr>
          <w:sz w:val="22"/>
        </w:rPr>
        <w:t xml:space="preserve"> means an action or set of actions relating to the conduct of business, consumer, or commercial affairs between two or more persons.</w:t>
      </w:r>
    </w:p>
    <w:p>
      <w:pPr>
        <w:pStyle w:val="Normal"/>
        <w:jc w:val="both"/>
        <w:rPr>
          <w:sz w:val="22"/>
        </w:rPr>
      </w:pPr>
      <w:r>
        <w:rPr>
          <w:sz w:val="22"/>
        </w:rPr>
      </w:r>
    </w:p>
    <w:p>
      <w:pPr>
        <w:pStyle w:val="BodyTextIndent2"/>
        <w:jc w:val="both"/>
        <w:rPr>
          <w:sz w:val="22"/>
        </w:rPr>
      </w:pPr>
      <w:r>
        <w:rPr>
          <w:sz w:val="22"/>
        </w:rPr>
        <w:t xml:space="preserve">● </w:t>
      </w:r>
      <w:r>
        <w:rPr>
          <w:sz w:val="22"/>
        </w:rPr>
        <w:t>Retention and Reproduction</w:t>
      </w:r>
    </w:p>
    <w:p>
      <w:pPr>
        <w:pStyle w:val="BodyTextIndent2"/>
        <w:jc w:val="both"/>
        <w:rPr/>
      </w:pPr>
      <w:r>
        <w:rPr>
          <w:sz w:val="22"/>
        </w:rPr>
        <w:tab/>
      </w:r>
      <w:r>
        <w:rPr>
          <w:b w:val="false"/>
          <w:bCs w:val="false"/>
          <w:sz w:val="22"/>
        </w:rPr>
        <w:t xml:space="preserve">Notwithstanding the other provisions, an electronic record, contract, or signature may be denied legal effect, validity, or enforceability if it is not in a form capable of being retained and accurately reproduced. </w:t>
      </w:r>
    </w:p>
    <w:p>
      <w:pPr>
        <w:pStyle w:val="BodyTextIndent2"/>
        <w:jc w:val="both"/>
        <w:rPr>
          <w:b w:val="false"/>
          <w:bCs w:val="false"/>
          <w:sz w:val="22"/>
        </w:rPr>
      </w:pPr>
      <w:r>
        <w:rPr>
          <w:b w:val="false"/>
          <w:bCs w:val="false"/>
          <w:sz w:val="22"/>
        </w:rPr>
      </w:r>
    </w:p>
    <w:p>
      <w:pPr>
        <w:pStyle w:val="BodyTextIndent2"/>
        <w:jc w:val="both"/>
        <w:rPr/>
      </w:pPr>
      <w:r>
        <w:rPr>
          <w:b w:val="false"/>
          <w:bCs w:val="false"/>
          <w:sz w:val="22"/>
        </w:rPr>
        <w:tab/>
        <w:t xml:space="preserve">All systems utilized must be capable of reproducing the "deal" </w:t>
      </w:r>
      <w:r>
        <w:rPr>
          <w:sz w:val="22"/>
        </w:rPr>
        <w:t>and the "legal document"</w:t>
      </w:r>
      <w:r>
        <w:rPr>
          <w:b w:val="false"/>
          <w:bCs w:val="false"/>
          <w:sz w:val="22"/>
        </w:rPr>
        <w:t xml:space="preserve"> applicable to the deal.  This requires vintaging and retention of contract terms.</w:t>
      </w:r>
    </w:p>
    <w:p>
      <w:pPr>
        <w:pStyle w:val="BodyTextIndent2"/>
        <w:jc w:val="both"/>
        <w:rPr>
          <w:b w:val="false"/>
          <w:bCs w:val="false"/>
          <w:sz w:val="22"/>
        </w:rPr>
      </w:pPr>
      <w:r>
        <w:rPr>
          <w:b w:val="false"/>
          <w:bCs w:val="false"/>
          <w:sz w:val="22"/>
        </w:rPr>
      </w:r>
    </w:p>
    <w:p>
      <w:pPr>
        <w:pStyle w:val="BodyTextIndent2"/>
        <w:jc w:val="both"/>
        <w:rPr>
          <w:sz w:val="22"/>
        </w:rPr>
      </w:pPr>
      <w:r>
        <w:rPr>
          <w:sz w:val="22"/>
        </w:rPr>
        <w:t xml:space="preserve">● </w:t>
      </w:r>
      <w:r>
        <w:rPr>
          <w:sz w:val="22"/>
        </w:rPr>
        <w:t>Various Transactions Not Covered by E-Sign</w:t>
      </w:r>
    </w:p>
    <w:p>
      <w:pPr>
        <w:pStyle w:val="BodyTextIndent2"/>
        <w:jc w:val="both"/>
        <w:rPr>
          <w:sz w:val="22"/>
        </w:rPr>
      </w:pPr>
      <w:r>
        <w:rPr>
          <w:sz w:val="22"/>
        </w:rPr>
        <w:tab/>
      </w:r>
      <w:r>
        <w:rPr>
          <w:b w:val="false"/>
          <w:bCs w:val="false"/>
          <w:sz w:val="22"/>
        </w:rPr>
        <w:t xml:space="preserve">Collateral/security granted in respect of transactions is excepted from E-Sign </w:t>
      </w:r>
    </w:p>
    <w:p>
      <w:pPr>
        <w:pStyle w:val="Normal"/>
        <w:jc w:val="both"/>
        <w:rPr>
          <w:b/>
          <w:bCs/>
          <w:sz w:val="22"/>
        </w:rPr>
      </w:pPr>
      <w:r>
        <w:rPr>
          <w:b/>
          <w:bCs/>
          <w:sz w:val="22"/>
        </w:rPr>
        <w:tab/>
        <w:t>Phone modality is not considered electronic</w:t>
      </w:r>
    </w:p>
    <w:p>
      <w:pPr>
        <w:pStyle w:val="Normal"/>
        <w:jc w:val="both"/>
        <w:rPr>
          <w:b/>
          <w:bCs/>
          <w:sz w:val="22"/>
        </w:rPr>
      </w:pPr>
      <w:r>
        <w:rPr>
          <w:b/>
          <w:bCs/>
          <w:sz w:val="22"/>
        </w:rPr>
      </w:r>
    </w:p>
    <w:p>
      <w:pPr>
        <w:pStyle w:val="BodyTextIndent2"/>
        <w:jc w:val="both"/>
        <w:rPr>
          <w:sz w:val="22"/>
        </w:rPr>
      </w:pPr>
      <w:r>
        <w:rPr>
          <w:sz w:val="22"/>
        </w:rPr>
        <w:t xml:space="preserve">● </w:t>
      </w:r>
      <w:r>
        <w:rPr>
          <w:sz w:val="22"/>
        </w:rPr>
        <w:t>State Law Issues</w:t>
      </w:r>
    </w:p>
    <w:p>
      <w:pPr>
        <w:pStyle w:val="BodyTextIndent"/>
        <w:ind w:hanging="0" w:end="0"/>
        <w:jc w:val="both"/>
        <w:rPr/>
      </w:pPr>
      <w:r>
        <w:rPr>
          <w:sz w:val="22"/>
        </w:rPr>
        <w:t xml:space="preserve">E-Sign generally will not preempt (or control over) State laws (Uniform Electronic Transactions Act ("UETA")): allows States to “modify, limit or supersede” E-Sign (including by enacting UETA); however, E-Sign qualifies States’ ability to avoid preemption by not allowing States to undermine the basic policies of E-Sign—if they do, then E-Sign will preempt the State law </w:t>
      </w:r>
    </w:p>
    <w:p>
      <w:pPr>
        <w:pStyle w:val="Normal"/>
        <w:jc w:val="both"/>
        <w:rPr/>
      </w:pPr>
      <w:r>
        <w:rPr>
          <w:b/>
          <w:bCs/>
          <w:u w:val="single"/>
        </w:rPr>
        <w:t xml:space="preserve">UETA:  </w:t>
      </w:r>
      <w:r>
        <w:rPr>
          <w:b/>
          <w:bCs/>
          <w:sz w:val="22"/>
          <w:u w:val="single"/>
        </w:rPr>
        <w:t xml:space="preserve">Enacted by 20 States (not Tx or NY) </w:t>
      </w:r>
    </w:p>
    <w:p>
      <w:pPr>
        <w:pStyle w:val="BodyTextIndent"/>
        <w:ind w:hanging="0" w:start="0" w:end="0"/>
        <w:jc w:val="both"/>
        <w:rPr>
          <w:b/>
          <w:bCs/>
          <w:sz w:val="22"/>
          <w:u w:val="single"/>
        </w:rPr>
      </w:pPr>
      <w:r>
        <w:rPr>
          <w:b/>
          <w:bCs/>
          <w:sz w:val="22"/>
          <w:u w:val="single"/>
        </w:rPr>
      </w:r>
    </w:p>
    <w:p>
      <w:pPr>
        <w:pStyle w:val="Normal"/>
        <w:ind w:hanging="720" w:start="720" w:end="0"/>
        <w:jc w:val="both"/>
        <w:rPr>
          <w:b/>
          <w:bCs/>
          <w:sz w:val="22"/>
        </w:rPr>
      </w:pPr>
      <w:r>
        <w:rPr>
          <w:b/>
          <w:bCs/>
          <w:sz w:val="22"/>
        </w:rPr>
        <w:t xml:space="preserve">● </w:t>
      </w:r>
      <w:r>
        <w:rPr>
          <w:b/>
          <w:bCs/>
          <w:sz w:val="22"/>
        </w:rPr>
        <w:t>UETA is More Comprehensive than E-Sign</w:t>
      </w:r>
    </w:p>
    <w:p>
      <w:pPr>
        <w:pStyle w:val="BodyTextIndent"/>
        <w:ind w:hanging="0" w:start="720" w:end="0"/>
        <w:jc w:val="both"/>
        <w:rPr/>
      </w:pPr>
      <w:r>
        <w:rPr>
          <w:sz w:val="22"/>
        </w:rPr>
        <w:t>a record or signature may not be denied legal effect or enforceability solely because it is in electronic form; a contract may not be denied legal effect or enforceability solely because an electronic record was used in its formation; if a law requires a record to be in writing, an electronic record satisfies the law; if a law requires a signature, an electronic signature satisfies the law</w:t>
      </w:r>
    </w:p>
    <w:p>
      <w:pPr>
        <w:pStyle w:val="BodyTextIndent"/>
        <w:ind w:hanging="0" w:start="0" w:end="0"/>
        <w:jc w:val="both"/>
        <w:rPr>
          <w:sz w:val="22"/>
        </w:rPr>
      </w:pPr>
      <w:r>
        <w:rPr>
          <w:sz w:val="22"/>
        </w:rPr>
      </w:r>
    </w:p>
    <w:p>
      <w:pPr>
        <w:pStyle w:val="Normal"/>
        <w:ind w:hanging="720" w:start="720" w:end="0"/>
        <w:jc w:val="both"/>
        <w:rPr>
          <w:b/>
          <w:bCs/>
          <w:sz w:val="22"/>
        </w:rPr>
      </w:pPr>
      <w:r>
        <w:rPr>
          <w:b/>
          <w:bCs/>
          <w:sz w:val="22"/>
        </w:rPr>
        <w:t xml:space="preserve">● </w:t>
      </w:r>
      <w:r>
        <w:rPr>
          <w:b/>
          <w:bCs/>
          <w:sz w:val="22"/>
        </w:rPr>
        <w:t>Important Provisions of UETA Not Covered by E-Sign</w:t>
      </w:r>
    </w:p>
    <w:p>
      <w:pPr>
        <w:pStyle w:val="Normal"/>
        <w:ind w:hanging="720" w:start="720" w:end="0"/>
        <w:jc w:val="both"/>
        <w:rPr/>
      </w:pPr>
      <w:r>
        <w:rPr>
          <w:b/>
          <w:bCs/>
          <w:sz w:val="22"/>
        </w:rPr>
        <w:tab/>
      </w:r>
      <w:r>
        <w:rPr>
          <w:sz w:val="22"/>
        </w:rPr>
        <w:t>Attribution-proof of fact that the electronic signature was the act of the person sought to be bound to the transaction; use of passwords/pins</w:t>
      </w:r>
    </w:p>
    <w:p>
      <w:pPr>
        <w:pStyle w:val="Normal"/>
        <w:ind w:hanging="720" w:start="720" w:end="0"/>
        <w:jc w:val="both"/>
        <w:rPr>
          <w:sz w:val="22"/>
        </w:rPr>
      </w:pPr>
      <w:r>
        <w:rPr>
          <w:sz w:val="22"/>
        </w:rPr>
      </w:r>
    </w:p>
    <w:p>
      <w:pPr>
        <w:pStyle w:val="Normal"/>
        <w:ind w:hanging="720" w:start="720" w:end="0"/>
        <w:jc w:val="both"/>
        <w:rPr>
          <w:sz w:val="22"/>
        </w:rPr>
      </w:pPr>
      <w:r>
        <w:rPr>
          <w:sz w:val="22"/>
        </w:rPr>
        <w:tab/>
        <w:t>Right to agree to method of contract formation; parties have express power to construct the manner in which contract formation will occur within electronic media</w:t>
      </w:r>
    </w:p>
    <w:p>
      <w:pPr>
        <w:pStyle w:val="Normal"/>
        <w:ind w:hanging="720" w:start="720" w:end="0"/>
        <w:jc w:val="both"/>
        <w:rPr>
          <w:sz w:val="22"/>
        </w:rPr>
      </w:pPr>
      <w:r>
        <w:rPr>
          <w:sz w:val="22"/>
        </w:rPr>
      </w:r>
    </w:p>
    <w:p>
      <w:pPr>
        <w:pStyle w:val="Normal"/>
        <w:ind w:hanging="720" w:start="720" w:end="0"/>
        <w:jc w:val="both"/>
        <w:rPr>
          <w:sz w:val="22"/>
        </w:rPr>
      </w:pPr>
      <w:r>
        <w:rPr>
          <w:sz w:val="22"/>
        </w:rPr>
        <w:tab/>
        <w:t>Determines when items are sent and received</w:t>
      </w:r>
    </w:p>
    <w:p>
      <w:pPr>
        <w:pStyle w:val="Normal"/>
        <w:ind w:hanging="720" w:start="720" w:end="0"/>
        <w:jc w:val="both"/>
        <w:rPr>
          <w:b/>
          <w:bCs/>
          <w:sz w:val="22"/>
        </w:rPr>
      </w:pPr>
      <w:r>
        <w:rPr>
          <w:b/>
          <w:bCs/>
          <w:sz w:val="22"/>
        </w:rPr>
      </w:r>
    </w:p>
    <w:p>
      <w:pPr>
        <w:pStyle w:val="BodyTextIndent"/>
        <w:ind w:hanging="0" w:start="0" w:end="0"/>
        <w:jc w:val="both"/>
        <w:rPr>
          <w:sz w:val="22"/>
        </w:rPr>
      </w:pPr>
      <w:r>
        <w:rPr>
          <w:sz w:val="22"/>
        </w:rPr>
        <w:tab/>
        <w:t>Expressly states electronic records and signatures are admissible as proof</w:t>
      </w:r>
    </w:p>
    <w:p>
      <w:pPr>
        <w:pStyle w:val="BodyTextIndent"/>
        <w:ind w:hanging="0" w:start="0" w:end="0"/>
        <w:jc w:val="both"/>
        <w:rPr>
          <w:sz w:val="22"/>
        </w:rPr>
      </w:pPr>
      <w:r>
        <w:rPr>
          <w:sz w:val="22"/>
        </w:rPr>
      </w:r>
    </w:p>
    <w:p>
      <w:pPr>
        <w:pStyle w:val="BodyTextIndent"/>
        <w:ind w:hanging="0" w:start="0" w:end="0"/>
        <w:jc w:val="both"/>
        <w:rPr>
          <w:b/>
          <w:bCs/>
          <w:sz w:val="22"/>
          <w:u w:val="single"/>
        </w:rPr>
      </w:pPr>
      <w:r>
        <w:rPr>
          <w:b/>
          <w:bCs/>
          <w:sz w:val="22"/>
          <w:u w:val="single"/>
        </w:rPr>
        <w:t>TEXAS Digital UCC Laws</w:t>
      </w:r>
    </w:p>
    <w:p>
      <w:pPr>
        <w:pStyle w:val="BodyTextIndent"/>
        <w:ind w:hanging="0" w:start="0" w:end="0"/>
        <w:jc w:val="both"/>
        <w:rPr>
          <w:b/>
          <w:bCs/>
          <w:sz w:val="22"/>
          <w:u w:val="single"/>
        </w:rPr>
      </w:pPr>
      <w:r>
        <w:rPr>
          <w:b/>
          <w:bCs/>
          <w:sz w:val="22"/>
          <w:u w:val="single"/>
        </w:rPr>
      </w:r>
    </w:p>
    <w:p>
      <w:pPr>
        <w:pStyle w:val="Normal"/>
        <w:ind w:hanging="720" w:start="720" w:end="0"/>
        <w:jc w:val="both"/>
        <w:rPr>
          <w:b/>
          <w:bCs/>
          <w:sz w:val="22"/>
        </w:rPr>
      </w:pPr>
      <w:r>
        <w:rPr>
          <w:b/>
          <w:bCs/>
          <w:sz w:val="22"/>
        </w:rPr>
        <w:t xml:space="preserve">● </w:t>
      </w:r>
      <w:r>
        <w:rPr>
          <w:b/>
          <w:bCs/>
          <w:sz w:val="22"/>
        </w:rPr>
        <w:t>Texas UCC</w:t>
      </w:r>
    </w:p>
    <w:p>
      <w:pPr>
        <w:pStyle w:val="Normal"/>
        <w:ind w:start="720" w:end="0"/>
        <w:jc w:val="both"/>
        <w:rPr/>
      </w:pPr>
      <w:r>
        <w:rPr>
          <w:sz w:val="22"/>
        </w:rPr>
        <w:t>Applicable to sales of goods:  "A written electronic communication sent from within or received in this state in connection with a transaction . . .is considered signed if a digital signature is transmitted with the communication."  (digital signature means an "electronic identifier")  Recognizes electronic contract for sale of goods with digital signature as compliant with applicable SF.</w:t>
      </w:r>
    </w:p>
    <w:p>
      <w:pPr>
        <w:pStyle w:val="Normal"/>
        <w:ind w:start="720" w:end="0"/>
        <w:jc w:val="both"/>
        <w:rPr>
          <w:sz w:val="22"/>
        </w:rPr>
      </w:pPr>
      <w:r>
        <w:rPr>
          <w:sz w:val="22"/>
        </w:rPr>
      </w:r>
    </w:p>
    <w:p>
      <w:pPr>
        <w:pStyle w:val="Normal"/>
        <w:ind w:start="720" w:end="0"/>
        <w:jc w:val="both"/>
        <w:rPr>
          <w:sz w:val="22"/>
        </w:rPr>
      </w:pPr>
      <w:r>
        <w:rPr>
          <w:sz w:val="22"/>
        </w:rPr>
        <w:t>Applicable to secured transaction:  Effects the same rule applicable to goods and allows the creation of a security interest by electronic contract with digital signature.</w:t>
      </w:r>
    </w:p>
    <w:p>
      <w:pPr>
        <w:pStyle w:val="Normal"/>
        <w:ind w:start="720" w:end="0"/>
        <w:jc w:val="both"/>
        <w:rPr>
          <w:sz w:val="22"/>
        </w:rPr>
      </w:pPr>
      <w:r>
        <w:rPr>
          <w:sz w:val="22"/>
        </w:rPr>
      </w:r>
    </w:p>
    <w:p>
      <w:pPr>
        <w:pStyle w:val="BodyTextIndent"/>
        <w:ind w:hanging="0" w:start="0" w:end="0"/>
        <w:jc w:val="center"/>
        <w:rPr>
          <w:b/>
          <w:bCs/>
          <w:i/>
          <w:i/>
          <w:iCs/>
          <w:sz w:val="28"/>
        </w:rPr>
      </w:pPr>
      <w:r>
        <w:rPr>
          <w:b/>
          <w:bCs/>
          <w:i/>
          <w:iCs/>
          <w:sz w:val="28"/>
        </w:rPr>
        <w:t>PROOF ISSUES</w:t>
      </w:r>
    </w:p>
    <w:p>
      <w:pPr>
        <w:pStyle w:val="BodyTextIndent"/>
        <w:ind w:hanging="0" w:start="0" w:end="0"/>
        <w:jc w:val="both"/>
        <w:rPr>
          <w:b/>
          <w:bCs/>
          <w:i/>
          <w:i/>
          <w:iCs/>
          <w:sz w:val="22"/>
        </w:rPr>
      </w:pPr>
      <w:r>
        <w:rPr>
          <w:b/>
          <w:bCs/>
          <w:i/>
          <w:iCs/>
          <w:sz w:val="22"/>
        </w:rPr>
      </w:r>
    </w:p>
    <w:p>
      <w:pPr>
        <w:pStyle w:val="Normal"/>
        <w:ind w:hanging="720" w:start="720" w:end="0"/>
        <w:jc w:val="both"/>
        <w:rPr>
          <w:b/>
          <w:bCs/>
          <w:sz w:val="22"/>
        </w:rPr>
      </w:pPr>
      <w:r>
        <w:rPr>
          <w:b/>
          <w:bCs/>
          <w:sz w:val="22"/>
        </w:rPr>
        <w:t xml:space="preserve">● </w:t>
      </w:r>
      <w:r>
        <w:rPr>
          <w:b/>
          <w:bCs/>
          <w:sz w:val="22"/>
        </w:rPr>
        <w:t>Four Issues</w:t>
      </w:r>
    </w:p>
    <w:p>
      <w:pPr>
        <w:pStyle w:val="Normal"/>
        <w:ind w:start="720" w:end="0"/>
        <w:jc w:val="both"/>
        <w:rPr>
          <w:sz w:val="22"/>
        </w:rPr>
      </w:pPr>
      <w:r>
        <w:rPr>
          <w:sz w:val="22"/>
        </w:rPr>
        <w:t xml:space="preserve">Proving electronic communication was originated/signed by purported party </w:t>
      </w:r>
    </w:p>
    <w:p>
      <w:pPr>
        <w:pStyle w:val="Normal"/>
        <w:ind w:start="720" w:end="0"/>
        <w:jc w:val="both"/>
        <w:rPr>
          <w:sz w:val="22"/>
        </w:rPr>
      </w:pPr>
      <w:r>
        <w:rPr>
          <w:sz w:val="22"/>
        </w:rPr>
        <w:t>Proving the content of the transaction</w:t>
      </w:r>
    </w:p>
    <w:p>
      <w:pPr>
        <w:pStyle w:val="Normal"/>
        <w:ind w:start="720" w:end="0"/>
        <w:jc w:val="both"/>
        <w:rPr>
          <w:sz w:val="22"/>
        </w:rPr>
      </w:pPr>
      <w:r>
        <w:rPr>
          <w:sz w:val="22"/>
        </w:rPr>
        <w:t xml:space="preserve">Reducing possibility of deliberate alteration of contents of electronic record </w:t>
      </w:r>
    </w:p>
    <w:p>
      <w:pPr>
        <w:pStyle w:val="Normal"/>
        <w:ind w:start="720" w:end="0"/>
        <w:jc w:val="both"/>
        <w:rPr/>
      </w:pPr>
      <w:r>
        <w:rPr>
          <w:sz w:val="22"/>
        </w:rPr>
        <w:t>Reducing possibility of inadvertent alteration of contents of electronic record</w:t>
      </w:r>
    </w:p>
    <w:p>
      <w:pPr>
        <w:pStyle w:val="Normal"/>
        <w:ind w:start="720" w:end="0"/>
        <w:jc w:val="center"/>
        <w:rPr>
          <w:sz w:val="22"/>
        </w:rPr>
      </w:pPr>
      <w:r>
        <w:rPr>
          <w:sz w:val="22"/>
        </w:rPr>
      </w:r>
    </w:p>
    <w:p>
      <w:pPr>
        <w:pStyle w:val="Normal"/>
        <w:jc w:val="center"/>
        <w:rPr>
          <w:b/>
          <w:bCs/>
          <w:i/>
          <w:i/>
          <w:iCs/>
          <w:sz w:val="28"/>
        </w:rPr>
      </w:pPr>
      <w:r>
        <w:rPr>
          <w:b/>
          <w:bCs/>
          <w:i/>
          <w:iCs/>
          <w:sz w:val="28"/>
        </w:rPr>
        <w:t>TRADING MODALITY</w:t>
      </w:r>
    </w:p>
    <w:p>
      <w:pPr>
        <w:pStyle w:val="Normal"/>
        <w:ind w:start="720" w:end="0"/>
        <w:jc w:val="both"/>
        <w:rPr>
          <w:b/>
          <w:bCs/>
          <w:i/>
          <w:i/>
          <w:iCs/>
          <w:sz w:val="22"/>
        </w:rPr>
      </w:pPr>
      <w:r>
        <w:rPr>
          <w:b/>
          <w:bCs/>
          <w:i/>
          <w:iCs/>
          <w:sz w:val="22"/>
        </w:rPr>
      </w:r>
    </w:p>
    <w:p>
      <w:pPr>
        <w:pStyle w:val="Normal"/>
        <w:ind w:hanging="720" w:start="720" w:end="0"/>
        <w:jc w:val="both"/>
        <w:rPr>
          <w:b/>
          <w:bCs/>
          <w:sz w:val="22"/>
        </w:rPr>
      </w:pPr>
      <w:r>
        <w:rPr>
          <w:b/>
          <w:bCs/>
          <w:sz w:val="22"/>
        </w:rPr>
        <w:t xml:space="preserve">● </w:t>
      </w:r>
      <w:r>
        <w:rPr>
          <w:b/>
          <w:bCs/>
          <w:sz w:val="22"/>
        </w:rPr>
        <w:t>Phone/Electronic</w:t>
      </w:r>
    </w:p>
    <w:p>
      <w:pPr>
        <w:pStyle w:val="Normal"/>
        <w:ind w:start="720" w:end="0"/>
        <w:jc w:val="both"/>
        <w:rPr>
          <w:sz w:val="22"/>
        </w:rPr>
      </w:pPr>
      <w:r>
        <w:rPr>
          <w:sz w:val="22"/>
        </w:rPr>
        <w:t>The law governing each modality is different since the electronic legislation does not cover phone trading</w:t>
      </w:r>
    </w:p>
    <w:p>
      <w:pPr>
        <w:pStyle w:val="Normal"/>
        <w:ind w:start="720" w:end="0"/>
        <w:jc w:val="both"/>
        <w:rPr>
          <w:sz w:val="22"/>
        </w:rPr>
      </w:pPr>
      <w:r>
        <w:rPr>
          <w:sz w:val="22"/>
        </w:rPr>
      </w:r>
    </w:p>
    <w:p>
      <w:pPr>
        <w:pStyle w:val="Normal"/>
        <w:ind w:start="720" w:end="0"/>
        <w:jc w:val="both"/>
        <w:rPr/>
      </w:pPr>
      <w:r>
        <w:rPr>
          <w:sz w:val="22"/>
        </w:rPr>
        <w:t>Legal and Deal Clearing will be required to continue to support both modalities of trading through the near future</w:t>
      </w:r>
      <w:r>
        <w:br w:type="page"/>
      </w:r>
    </w:p>
    <w:p>
      <w:pPr>
        <w:pStyle w:val="Normal"/>
        <w:ind w:start="720" w:end="0"/>
        <w:jc w:val="both"/>
        <w:rPr>
          <w:b/>
          <w:bCs/>
          <w:i/>
          <w:i/>
          <w:iCs/>
          <w:sz w:val="28"/>
        </w:rPr>
      </w:pPr>
      <w:r>
        <w:rPr>
          <w:b/>
          <w:bCs/>
          <w:i/>
          <w:iCs/>
          <w:sz w:val="28"/>
        </w:rPr>
        <w:t>SUGGESTED NEXT STEPS FOR LEGAL DETERMINATIONS</w:t>
      </w:r>
    </w:p>
    <w:p>
      <w:pPr>
        <w:pStyle w:val="Normal"/>
        <w:jc w:val="center"/>
        <w:rPr>
          <w:b/>
          <w:bCs/>
          <w:i/>
          <w:i/>
          <w:iCs/>
          <w:sz w:val="22"/>
        </w:rPr>
      </w:pPr>
      <w:r>
        <w:rPr>
          <w:b/>
          <w:bCs/>
          <w:i/>
          <w:iCs/>
          <w:sz w:val="22"/>
        </w:rPr>
      </w:r>
    </w:p>
    <w:p>
      <w:pPr>
        <w:pStyle w:val="Normal"/>
        <w:jc w:val="both"/>
        <w:rPr>
          <w:sz w:val="22"/>
        </w:rPr>
      </w:pPr>
      <w:r>
        <w:rPr>
          <w:sz w:val="22"/>
        </w:rPr>
        <w:t>1.  On the basis of the work accomplished at this session, Deal Clearing will segment the deal clearing activities by product types/jurisdictions/required trading modalities, and then prioritize on the basis of the "greatest workload savings."</w:t>
      </w:r>
    </w:p>
    <w:p>
      <w:pPr>
        <w:pStyle w:val="Normal"/>
        <w:jc w:val="both"/>
        <w:rPr>
          <w:sz w:val="22"/>
        </w:rPr>
      </w:pPr>
      <w:r>
        <w:rPr>
          <w:sz w:val="22"/>
        </w:rPr>
      </w:r>
    </w:p>
    <w:p>
      <w:pPr>
        <w:pStyle w:val="Normal"/>
        <w:jc w:val="both"/>
        <w:rPr>
          <w:sz w:val="22"/>
        </w:rPr>
      </w:pPr>
      <w:r>
        <w:rPr>
          <w:sz w:val="22"/>
        </w:rPr>
        <w:t>2.  Enron Wholesale Markets Legal and Deal Clearing Department heads will create a legal task force to assess and make decisions with respect to the most efficient deal clearing processes available for the product types/jurisdictions/required trading modalities on the basis of current law and legal risk profiles acceptable to Enron.  The task force will work on a step basis based upon the priorities determined by item 1.</w:t>
      </w:r>
    </w:p>
    <w:p>
      <w:pPr>
        <w:pStyle w:val="Normal"/>
        <w:jc w:val="center"/>
        <w:rPr>
          <w:b/>
          <w:bCs/>
          <w:sz w:val="28"/>
        </w:rPr>
      </w:pPr>
      <w:r>
        <w:rPr>
          <w:b/>
          <w:bCs/>
          <w:sz w:val="28"/>
        </w:rPr>
      </w:r>
    </w:p>
    <w:p>
      <w:pPr>
        <w:pStyle w:val="BodyTextIndent"/>
        <w:ind w:hanging="0" w:start="0" w:end="0"/>
        <w:jc w:val="center"/>
        <w:rPr>
          <w:b/>
          <w:bCs/>
          <w:sz w:val="24"/>
        </w:rPr>
      </w:pPr>
      <w:r>
        <w:rPr>
          <w:b/>
          <w:bCs/>
          <w:sz w:val="24"/>
        </w:rPr>
      </w:r>
    </w:p>
    <w:p>
      <w:pPr>
        <w:pStyle w:val="BodyTextIndent"/>
        <w:ind w:hanging="0" w:start="0" w:end="0"/>
        <w:jc w:val="center"/>
        <w:rPr>
          <w:b/>
          <w:bCs/>
          <w:sz w:val="28"/>
        </w:rPr>
      </w:pPr>
      <w:r>
        <w:rPr>
          <w:b/>
          <w:bCs/>
          <w:sz w:val="28"/>
        </w:rPr>
      </w:r>
    </w:p>
    <w:p>
      <w:pPr>
        <w:pStyle w:val="BodyTextIndent"/>
        <w:ind w:hanging="0" w:start="0" w:end="0"/>
        <w:jc w:val="both"/>
        <w:rPr>
          <w:b/>
          <w:bCs/>
          <w:sz w:val="24"/>
        </w:rPr>
      </w:pPr>
      <w:r>
        <w:rPr>
          <w:b/>
          <w:bCs/>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/mnt/main-storage/datasets/enron-docs/doc/JAD_Session.doc</w:t>
    </w:r>
    <w:r>
      <w:rPr>
        <w:sz w:val="18"/>
      </w:rPr>
      <w:fldChar w:fldCharType="end"/>
    </w:r>
  </w:p>
  <w:p>
    <w:pPr>
      <w:pStyle w:val="Footer"/>
      <w:rPr>
        <w:sz w:val="18"/>
      </w:rPr>
    </w:pPr>
    <w:r>
      <w:rPr>
        <w:sz w:val="18"/>
      </w:rPr>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5</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b/>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z w:val="32"/>
    </w:rPr>
  </w:style>
  <w:style w:type="paragraph" w:styleId="BodyTextIndent2">
    <w:name w:val="Body Text Indent 2"/>
    <w:basedOn w:val="Normal"/>
    <w:qFormat/>
    <w:pPr>
      <w:ind w:hanging="720" w:start="720" w:end="0"/>
    </w:pPr>
    <w:rPr>
      <w:b/>
      <w:bCs/>
      <w:sz w:val="3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2000-11-10T12:49:00Z</dcterms:created>
  <dc:creator>cwoods4</dc:creator>
  <dc:description/>
  <dc:language>en-CA</dc:language>
  <cp:lastModifiedBy>mcook</cp:lastModifiedBy>
  <cp:lastPrinted>2000-11-15T13:35:00Z</cp:lastPrinted>
  <dcterms:modified xsi:type="dcterms:W3CDTF">2000-11-15T17:05:00Z</dcterms:modified>
  <cp:revision>13</cp:revision>
  <dc:subject/>
  <dc:title>JAD SESION</dc:title>
</cp:coreProperties>
</file>