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bookmarkStart w:id="0" w:name="HelpText"/>
      <w:r>
        <w:rPr/>
        <w:t xml:space="preserve">JAD SESSION </w:t>
      </w:r>
    </w:p>
    <w:p>
      <w:pPr>
        <w:pStyle w:val="Heading"/>
        <w:rPr/>
      </w:pPr>
      <w:r>
        <w:rPr/>
        <w:t xml:space="preserve">FOR </w:t>
      </w:r>
    </w:p>
    <w:p>
      <w:pPr>
        <w:pStyle w:val="Heading"/>
        <w:rPr/>
      </w:pPr>
      <w:bookmarkStart w:id="1" w:name="HelpText"/>
      <w:r>
        <w:rPr/>
        <w:t>DEAL CLEARING APPLICATION</w:t>
      </w:r>
      <w:bookmarkEnd w:id="1"/>
      <w:r>
        <w:rPr/>
        <w:t>S</w:t>
      </w:r>
    </w:p>
    <w:p>
      <w:pPr>
        <w:pStyle w:val="Subtitle"/>
        <w:rPr/>
      </w:pPr>
      <w:r>
        <w:rPr/>
        <w:t>November 16 &amp;17, 2000.</w:t>
      </w:r>
    </w:p>
    <w:p>
      <w:pPr>
        <w:pStyle w:val="BodyText"/>
        <w:rPr/>
      </w:pPr>
      <w:r>
        <w:rPr/>
        <w:t>Objective: The purpose of this meeting is to identify the needs and legal implications of the Deal Clearing Application in the current marketplace. Refer to Pages 4 &amp; 5 of this document to get an overview of the essential issues we hope to produce and the answer we wish to accomplish by the end of the session.</w:t>
      </w:r>
    </w:p>
    <w:p>
      <w:pPr>
        <w:pStyle w:val="BodyText"/>
        <w:rPr/>
      </w:pPr>
      <w:r>
        <w:rPr/>
        <w:t>A meeting is scheduled 8:30am – 4:00pm on November 16, 2000 and 8:30am to 2:00pm on November 17, 2000, XXXXXXX located at XXXX Smith, Houston, Texas.  Below is a preliminary itinerary for the meeting.</w:t>
      </w:r>
    </w:p>
    <w:p>
      <w:pPr>
        <w:pStyle w:val="BodyText"/>
        <w:rPr/>
      </w:pPr>
      <w:r>
        <w:rPr/>
        <w:t>Jeff Johnson, Sr. Director; Ron Nolte, Manager; and Sarita Das, Business Analyst will conduct this meeting.</w:t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40"/>
        <w:gridCol w:w="2430"/>
        <w:gridCol w:w="1890"/>
      </w:tblGrid>
      <w:tr>
        <w:trPr/>
        <w:tc>
          <w:tcPr>
            <w:tcW w:w="9360" w:type="dxa"/>
            <w:gridSpan w:val="3"/>
            <w:tcBorders/>
            <w:shd w:fill="F2F2F2" w:val="clear"/>
          </w:tcPr>
          <w:p>
            <w:pPr>
              <w:pStyle w:val="TableText"/>
              <w:snapToGrid w:val="false"/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</w:r>
          </w:p>
          <w:p>
            <w:pPr>
              <w:pStyle w:val="TableText"/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November 16, 2000. (8:30 am – 4:00 pm)</w:t>
            </w:r>
          </w:p>
        </w:tc>
      </w:tr>
      <w:tr>
        <w:trPr/>
        <w:tc>
          <w:tcPr>
            <w:tcW w:w="5040" w:type="dxa"/>
            <w:tcBorders/>
            <w:shd w:fill="F2F2F2" w:val="clear"/>
          </w:tcPr>
          <w:p>
            <w:pPr>
              <w:pStyle w:val="TableText"/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Subject</w:t>
            </w:r>
          </w:p>
        </w:tc>
        <w:tc>
          <w:tcPr>
            <w:tcW w:w="2430" w:type="dxa"/>
            <w:tcBorders/>
            <w:shd w:fill="F2F2F2" w:val="clear"/>
          </w:tcPr>
          <w:p>
            <w:pPr>
              <w:pStyle w:val="TableText"/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Speaker</w:t>
            </w:r>
          </w:p>
        </w:tc>
        <w:tc>
          <w:tcPr>
            <w:tcW w:w="1890" w:type="dxa"/>
            <w:tcBorders/>
            <w:shd w:fill="F2F2F2" w:val="clear"/>
          </w:tcPr>
          <w:p>
            <w:pPr>
              <w:pStyle w:val="TableText"/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Time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MACROBUTTON NoMacro Subject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Subject</w:t>
            </w:r>
            <w:r>
              <w:rPr>
                <w:b/>
              </w:rPr>
              <w:fldChar w:fldCharType="end"/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fldChar w:fldCharType="begin"/>
            </w:r>
            <w:r>
              <w:rPr/>
              <w:instrText xml:space="preserve"> MACROBUTTON NoMacro Speaker’s</w:instrText>
            </w:r>
            <w:r>
              <w:rPr/>
              <w:fldChar w:fldCharType="separate"/>
            </w:r>
            <w:r>
              <w:rPr/>
              <w:t>Speaker’s</w:t>
            </w:r>
            <w:r>
              <w:rPr/>
              <w:fldChar w:fldCharType="end"/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60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MACROBUTTON NoMacro Start</w:instrText>
            </w:r>
            <w:r>
              <w:rPr/>
              <w:fldChar w:fldCharType="separate"/>
            </w:r>
            <w:r>
              <w:rPr/>
              <w:t>Start</w:t>
            </w:r>
            <w:r>
              <w:rPr/>
              <w:fldChar w:fldCharType="end"/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numPr>
                <w:ilvl w:val="0"/>
                <w:numId w:val="10"/>
              </w:numPr>
              <w:spacing w:before="60" w:after="60"/>
              <w:rPr/>
            </w:pPr>
            <w:r>
              <w:rPr/>
              <w:t>Introduction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Jeff Johnson</w:t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20 Minutes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numPr>
                <w:ilvl w:val="0"/>
                <w:numId w:val="10"/>
              </w:numPr>
              <w:spacing w:before="60" w:after="60"/>
              <w:rPr/>
            </w:pPr>
            <w:r>
              <w:rPr/>
              <w:t>Legal Implications of the Electronic Marketplace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Mark Taylor / Goeff Hodges</w:t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60 Minutes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numPr>
                <w:ilvl w:val="0"/>
                <w:numId w:val="10"/>
              </w:numPr>
              <w:spacing w:before="60" w:after="60"/>
              <w:rPr/>
            </w:pPr>
            <w:r>
              <w:rPr/>
              <w:t>Question &amp; Answer session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20 Minutes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numPr>
                <w:ilvl w:val="0"/>
                <w:numId w:val="10"/>
              </w:numPr>
              <w:spacing w:before="60" w:after="60"/>
              <w:rPr/>
            </w:pPr>
            <w:r>
              <w:rPr/>
              <w:t>Break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10 minutes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numPr>
                <w:ilvl w:val="0"/>
                <w:numId w:val="10"/>
              </w:numPr>
              <w:spacing w:before="60" w:after="60"/>
              <w:rPr/>
            </w:pPr>
            <w:r>
              <w:rPr/>
              <w:t xml:space="preserve">DCAF II 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 xml:space="preserve">Ron Nolte </w:t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20 Minutes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numPr>
                <w:ilvl w:val="0"/>
                <w:numId w:val="10"/>
              </w:numPr>
              <w:spacing w:before="60" w:after="60"/>
              <w:rPr/>
            </w:pPr>
            <w:r>
              <w:rPr/>
              <w:t>UK Gas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15 Minutes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numPr>
                <w:ilvl w:val="0"/>
                <w:numId w:val="10"/>
              </w:numPr>
              <w:spacing w:before="60" w:after="60"/>
              <w:rPr/>
            </w:pPr>
            <w:r>
              <w:rPr/>
              <w:t>Lunch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30 Minutes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>
                <w:b/>
              </w:rPr>
            </w:pPr>
            <w:r>
              <w:rPr>
                <w:b/>
              </w:rPr>
              <w:t>Presentation of Clearing Requirements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napToGrid w:val="false"/>
              <w:spacing w:before="60" w:after="6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90" w:type="dxa"/>
            <w:tcBorders/>
          </w:tcPr>
          <w:p>
            <w:pPr>
              <w:pStyle w:val="TableText"/>
              <w:snapToGrid w:val="false"/>
              <w:spacing w:before="60" w:after="0"/>
              <w:rPr/>
            </w:pPr>
            <w:r>
              <w:rPr/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Houston Gas Compliance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Bob Bowen</w:t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15 Minutes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UK Gas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15 Minutes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Calgary Gas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Dianne Seib</w:t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15 Minutes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Houston Power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 xml:space="preserve"> </w:t>
            </w:r>
            <w:r>
              <w:rPr/>
              <w:t xml:space="preserve">Kim Theriot </w:t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15 Minutes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Continental Power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10 Minutes</w:t>
            </w:r>
          </w:p>
        </w:tc>
      </w:tr>
      <w:tr>
        <w:trPr/>
        <w:tc>
          <w:tcPr>
            <w:tcW w:w="9360" w:type="dxa"/>
            <w:gridSpan w:val="3"/>
            <w:tcBorders/>
            <w:shd w:fill="F2F2F2" w:val="clear"/>
          </w:tcPr>
          <w:p>
            <w:pPr>
              <w:pStyle w:val="TableText"/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November 16, 2000</w:t>
            </w:r>
          </w:p>
        </w:tc>
      </w:tr>
      <w:tr>
        <w:trPr/>
        <w:tc>
          <w:tcPr>
            <w:tcW w:w="5040" w:type="dxa"/>
            <w:tcBorders/>
            <w:shd w:fill="F2F2F2" w:val="clear"/>
          </w:tcPr>
          <w:p>
            <w:pPr>
              <w:pStyle w:val="TableText"/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Subject</w:t>
            </w:r>
          </w:p>
        </w:tc>
        <w:tc>
          <w:tcPr>
            <w:tcW w:w="2430" w:type="dxa"/>
            <w:tcBorders/>
            <w:shd w:fill="F2F2F2" w:val="clear"/>
          </w:tcPr>
          <w:p>
            <w:pPr>
              <w:pStyle w:val="TableText"/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Speaker</w:t>
            </w:r>
          </w:p>
        </w:tc>
        <w:tc>
          <w:tcPr>
            <w:tcW w:w="1890" w:type="dxa"/>
            <w:tcBorders/>
            <w:shd w:fill="F2F2F2" w:val="clear"/>
          </w:tcPr>
          <w:p>
            <w:pPr>
              <w:pStyle w:val="TableText"/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Time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MACROBUTTON NoMacro Subject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Subject</w:t>
            </w:r>
            <w:r>
              <w:rPr>
                <w:b/>
              </w:rPr>
              <w:fldChar w:fldCharType="end"/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fldChar w:fldCharType="begin"/>
            </w:r>
            <w:r>
              <w:rPr/>
              <w:instrText xml:space="preserve"> MACROBUTTON NoMacro Speaker’s</w:instrText>
            </w:r>
            <w:r>
              <w:rPr/>
              <w:fldChar w:fldCharType="separate"/>
            </w:r>
            <w:r>
              <w:rPr/>
              <w:t>Speaker’s</w:t>
            </w:r>
            <w:r>
              <w:rPr/>
              <w:fldChar w:fldCharType="end"/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60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MACROBUTTON NoMacro Start</w:instrText>
            </w:r>
            <w:r>
              <w:rPr/>
              <w:fldChar w:fldCharType="separate"/>
            </w:r>
            <w:r>
              <w:rPr/>
              <w:t>Start</w:t>
            </w:r>
            <w:r>
              <w:rPr/>
              <w:fldChar w:fldCharType="end"/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Calgary Power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Dianne Seib</w:t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10 Minutes</w:t>
            </w:r>
          </w:p>
        </w:tc>
      </w:tr>
      <w:tr>
        <w:trPr>
          <w:trHeight w:val="477" w:hRule="atLeast"/>
        </w:trPr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Break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10 Minutes</w:t>
            </w:r>
          </w:p>
        </w:tc>
      </w:tr>
      <w:tr>
        <w:trPr>
          <w:trHeight w:val="477" w:hRule="atLeast"/>
        </w:trPr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Houston Global Products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Lynn Shivers</w:t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10 Minutes</w:t>
            </w:r>
          </w:p>
        </w:tc>
      </w:tr>
      <w:tr>
        <w:trPr>
          <w:trHeight w:val="477" w:hRule="atLeast"/>
        </w:trPr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London Global Products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Debbie Nicholls</w:t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15 Minutes</w:t>
            </w:r>
          </w:p>
        </w:tc>
      </w:tr>
      <w:tr>
        <w:trPr>
          <w:trHeight w:val="477" w:hRule="atLeast"/>
        </w:trPr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Pulp Paper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Charlie Huang</w:t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10 Minutes</w:t>
            </w:r>
          </w:p>
        </w:tc>
      </w:tr>
      <w:tr>
        <w:trPr>
          <w:trHeight w:val="477" w:hRule="atLeast"/>
        </w:trPr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Foreign Exchange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Laurel Adams</w:t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10 Minutes</w:t>
            </w:r>
          </w:p>
        </w:tc>
      </w:tr>
      <w:tr>
        <w:trPr>
          <w:trHeight w:val="477" w:hRule="atLeast"/>
        </w:trPr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 xml:space="preserve">Weather 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Scott Tackett</w:t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t>10 Minutes</w:t>
            </w:r>
          </w:p>
        </w:tc>
      </w:tr>
    </w:tbl>
    <w:p>
      <w:pPr>
        <w:pStyle w:val="Normal"/>
        <w:spacing w:before="240" w:after="240"/>
        <w:rPr/>
      </w:pPr>
      <w:r>
        <w:rPr/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40"/>
        <w:gridCol w:w="2430"/>
        <w:gridCol w:w="1890"/>
      </w:tblGrid>
      <w:tr>
        <w:trPr/>
        <w:tc>
          <w:tcPr>
            <w:tcW w:w="9360" w:type="dxa"/>
            <w:gridSpan w:val="3"/>
            <w:tcBorders/>
            <w:shd w:fill="F2F2F2" w:val="clear"/>
          </w:tcPr>
          <w:p>
            <w:pPr>
              <w:pStyle w:val="TableText"/>
              <w:snapToGrid w:val="false"/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</w:r>
          </w:p>
          <w:p>
            <w:pPr>
              <w:pStyle w:val="TableText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November 17, 2000. ( 8:00 am – 2:00 pm)</w:t>
            </w:r>
          </w:p>
          <w:p>
            <w:pPr>
              <w:pStyle w:val="TableText"/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</w:r>
          </w:p>
        </w:tc>
      </w:tr>
      <w:tr>
        <w:trPr/>
        <w:tc>
          <w:tcPr>
            <w:tcW w:w="5040" w:type="dxa"/>
            <w:tcBorders/>
            <w:shd w:fill="F2F2F2" w:val="clear"/>
          </w:tcPr>
          <w:p>
            <w:pPr>
              <w:pStyle w:val="TableText"/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Subject</w:t>
            </w:r>
          </w:p>
        </w:tc>
        <w:tc>
          <w:tcPr>
            <w:tcW w:w="2430" w:type="dxa"/>
            <w:tcBorders/>
            <w:shd w:fill="F2F2F2" w:val="clear"/>
          </w:tcPr>
          <w:p>
            <w:pPr>
              <w:pStyle w:val="TableText"/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Speaker</w:t>
            </w:r>
          </w:p>
        </w:tc>
        <w:tc>
          <w:tcPr>
            <w:tcW w:w="1890" w:type="dxa"/>
            <w:tcBorders/>
            <w:shd w:fill="F2F2F2" w:val="clear"/>
          </w:tcPr>
          <w:p>
            <w:pPr>
              <w:pStyle w:val="TableText"/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Time</w:t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MACROBUTTON NoMacro Subject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Subject</w:t>
            </w:r>
            <w:r>
              <w:rPr>
                <w:b/>
              </w:rPr>
              <w:fldChar w:fldCharType="end"/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0"/>
              <w:rPr/>
            </w:pPr>
            <w:r>
              <w:rPr/>
              <w:fldChar w:fldCharType="begin"/>
            </w:r>
            <w:r>
              <w:rPr/>
              <w:instrText xml:space="preserve"> MACROBUTTON NoMacro Speaker’s</w:instrText>
            </w:r>
            <w:r>
              <w:rPr/>
              <w:fldChar w:fldCharType="separate"/>
            </w:r>
            <w:r>
              <w:rPr/>
              <w:t>Speaker’s</w:t>
            </w:r>
            <w:r>
              <w:rPr/>
              <w:fldChar w:fldCharType="end"/>
            </w:r>
          </w:p>
        </w:tc>
        <w:tc>
          <w:tcPr>
            <w:tcW w:w="1890" w:type="dxa"/>
            <w:tcBorders/>
          </w:tcPr>
          <w:p>
            <w:pPr>
              <w:pStyle w:val="TableText"/>
              <w:spacing w:before="60" w:after="60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MACROBUTTON NoMacro Start</w:instrText>
            </w:r>
            <w:r>
              <w:rPr/>
              <w:fldChar w:fldCharType="separate"/>
            </w:r>
            <w:r>
              <w:rPr/>
              <w:t>Start</w:t>
            </w:r>
            <w:r>
              <w:rPr/>
              <w:fldChar w:fldCharType="end"/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Business direction and requirements trend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napToGrid w:val="false"/>
              <w:spacing w:before="60" w:after="0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TableText"/>
              <w:snapToGrid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Go Forward Project Options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TableText"/>
              <w:snapToGrid w:val="false"/>
              <w:spacing w:before="60" w:after="0"/>
              <w:rPr/>
            </w:pPr>
            <w:r>
              <w:rPr/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Business Case/ Benefits of Project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napToGrid w:val="false"/>
              <w:spacing w:before="60" w:after="60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TableText"/>
              <w:snapToGrid w:val="false"/>
              <w:spacing w:before="60" w:after="0"/>
              <w:rPr/>
            </w:pPr>
            <w:r>
              <w:rPr/>
            </w:r>
          </w:p>
        </w:tc>
      </w:tr>
      <w:tr>
        <w:trPr/>
        <w:tc>
          <w:tcPr>
            <w:tcW w:w="504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Project Next Steps</w:t>
            </w:r>
          </w:p>
        </w:tc>
        <w:tc>
          <w:tcPr>
            <w:tcW w:w="2430" w:type="dxa"/>
            <w:tcBorders/>
          </w:tcPr>
          <w:p>
            <w:pPr>
              <w:pStyle w:val="TableText"/>
              <w:spacing w:before="60" w:after="60"/>
              <w:rPr/>
            </w:pPr>
            <w:r>
              <w:rPr/>
              <w:t>Jeff Johnson</w:t>
            </w:r>
          </w:p>
        </w:tc>
        <w:tc>
          <w:tcPr>
            <w:tcW w:w="1890" w:type="dxa"/>
            <w:tcBorders/>
          </w:tcPr>
          <w:p>
            <w:pPr>
              <w:pStyle w:val="TableText"/>
              <w:snapToGrid w:val="false"/>
              <w:spacing w:before="60" w:after="0"/>
              <w:rPr/>
            </w:pPr>
            <w:r>
              <w:rPr/>
            </w:r>
          </w:p>
        </w:tc>
      </w:tr>
    </w:tbl>
    <w:p>
      <w:pPr>
        <w:pStyle w:val="Normal"/>
        <w:spacing w:before="240" w:after="240"/>
        <w:rPr/>
      </w:pPr>
      <w:r>
        <w:rPr/>
      </w:r>
    </w:p>
    <w:p>
      <w:pPr>
        <w:pStyle w:val="Heading1"/>
        <w:spacing w:before="240" w:after="240"/>
        <w:ind w:hanging="0" w:start="0"/>
        <w:rPr/>
      </w:pPr>
      <w:r>
        <w:rPr/>
        <w:t>Attendees:</w:t>
      </w:r>
    </w:p>
    <w:p>
      <w:pPr>
        <w:pStyle w:val="ListBullet"/>
        <w:numPr>
          <w:ilvl w:val="0"/>
          <w:numId w:val="11"/>
        </w:numPr>
        <w:rPr/>
      </w:pPr>
      <w:r>
        <w:rPr/>
        <w:t>Debbie Nicholls  (London)</w:t>
      </w:r>
    </w:p>
    <w:p>
      <w:pPr>
        <w:pStyle w:val="ListBullet"/>
        <w:numPr>
          <w:ilvl w:val="0"/>
          <w:numId w:val="11"/>
        </w:numPr>
        <w:rPr/>
      </w:pPr>
      <w:r>
        <w:rPr/>
        <w:t>Kevin Sweeny</w:t>
      </w:r>
    </w:p>
    <w:p>
      <w:pPr>
        <w:pStyle w:val="ListBullet"/>
        <w:numPr>
          <w:ilvl w:val="0"/>
          <w:numId w:val="11"/>
        </w:numPr>
        <w:rPr/>
      </w:pPr>
      <w:r>
        <w:rPr/>
        <w:t>Richard Burchfield</w:t>
      </w:r>
    </w:p>
    <w:p>
      <w:pPr>
        <w:pStyle w:val="ListBullet"/>
        <w:numPr>
          <w:ilvl w:val="0"/>
          <w:numId w:val="11"/>
        </w:numPr>
        <w:rPr/>
      </w:pPr>
      <w:r>
        <w:rPr/>
        <w:t>Sally Beck</w:t>
      </w:r>
    </w:p>
    <w:p>
      <w:pPr>
        <w:pStyle w:val="ListBullet"/>
        <w:numPr>
          <w:ilvl w:val="0"/>
          <w:numId w:val="11"/>
        </w:numPr>
        <w:rPr/>
      </w:pPr>
      <w:r>
        <w:rPr/>
        <w:t xml:space="preserve">Lynn Shivers  </w:t>
      </w:r>
    </w:p>
    <w:p>
      <w:pPr>
        <w:pStyle w:val="ListBullet"/>
        <w:numPr>
          <w:ilvl w:val="0"/>
          <w:numId w:val="11"/>
        </w:numPr>
        <w:rPr/>
      </w:pPr>
      <w:r>
        <w:rPr/>
        <w:t>Bob Bowen ( Deal Compliance Group)</w:t>
      </w:r>
    </w:p>
    <w:p>
      <w:pPr>
        <w:pStyle w:val="ListBullet"/>
        <w:numPr>
          <w:ilvl w:val="0"/>
          <w:numId w:val="11"/>
        </w:numPr>
        <w:rPr/>
      </w:pPr>
      <w:r>
        <w:rPr/>
        <w:t>Jeff Sorenson (Global Markets)</w:t>
      </w:r>
    </w:p>
    <w:p>
      <w:pPr>
        <w:pStyle w:val="ListBullet"/>
        <w:numPr>
          <w:ilvl w:val="0"/>
          <w:numId w:val="11"/>
        </w:numPr>
        <w:rPr/>
      </w:pPr>
      <w:r>
        <w:rPr/>
        <w:t>Kim Theriot  (Power)</w:t>
      </w:r>
    </w:p>
    <w:p>
      <w:pPr>
        <w:pStyle w:val="ListBullet"/>
        <w:numPr>
          <w:ilvl w:val="0"/>
          <w:numId w:val="11"/>
        </w:numPr>
        <w:rPr/>
      </w:pPr>
      <w:r>
        <w:rPr/>
        <w:t>Charlie Huang</w:t>
      </w:r>
    </w:p>
    <w:p>
      <w:pPr>
        <w:pStyle w:val="ListBullet"/>
        <w:numPr>
          <w:ilvl w:val="0"/>
          <w:numId w:val="11"/>
        </w:numPr>
        <w:rPr/>
      </w:pPr>
      <w:r>
        <w:rPr/>
        <w:t>Laura Adams  (Infinity)</w:t>
      </w:r>
    </w:p>
    <w:p>
      <w:pPr>
        <w:pStyle w:val="ListBullet"/>
        <w:numPr>
          <w:ilvl w:val="0"/>
          <w:numId w:val="11"/>
        </w:numPr>
        <w:rPr/>
      </w:pPr>
      <w:r>
        <w:rPr/>
        <w:t>Dianne Seib</w:t>
      </w:r>
    </w:p>
    <w:p>
      <w:pPr>
        <w:pStyle w:val="ListBullet"/>
        <w:numPr>
          <w:ilvl w:val="0"/>
          <w:numId w:val="11"/>
        </w:numPr>
        <w:rPr/>
      </w:pPr>
      <w:r>
        <w:rPr/>
        <w:t>Phil Yoxal  (London)</w:t>
      </w:r>
    </w:p>
    <w:p>
      <w:pPr>
        <w:pStyle w:val="ListBullet"/>
        <w:numPr>
          <w:ilvl w:val="0"/>
          <w:numId w:val="11"/>
        </w:numPr>
        <w:rPr/>
      </w:pPr>
      <w:r>
        <w:rPr/>
        <w:t>Richard Elmwood (Data Architect)</w:t>
      </w:r>
    </w:p>
    <w:p>
      <w:pPr>
        <w:pStyle w:val="ListBullet"/>
        <w:numPr>
          <w:ilvl w:val="0"/>
          <w:numId w:val="11"/>
        </w:numPr>
        <w:rPr/>
      </w:pPr>
      <w:r>
        <w:rPr/>
        <w:t>Scott Tackett (Weather Trading system)</w:t>
      </w:r>
    </w:p>
    <w:p>
      <w:pPr>
        <w:pStyle w:val="ListBullet"/>
        <w:numPr>
          <w:ilvl w:val="0"/>
          <w:numId w:val="11"/>
        </w:numPr>
        <w:rPr/>
      </w:pPr>
      <w:r>
        <w:rPr/>
        <w:t>Metals</w:t>
      </w:r>
    </w:p>
    <w:p>
      <w:pPr>
        <w:pStyle w:val="ListBullet"/>
        <w:numPr>
          <w:ilvl w:val="0"/>
          <w:numId w:val="11"/>
        </w:numPr>
        <w:rPr/>
      </w:pPr>
      <w:r>
        <w:rPr/>
        <w:t>Commodity Logic</w:t>
      </w:r>
    </w:p>
    <w:p>
      <w:pPr>
        <w:pStyle w:val="ListBullet"/>
        <w:numPr>
          <w:ilvl w:val="0"/>
          <w:numId w:val="11"/>
        </w:numPr>
        <w:rPr/>
      </w:pPr>
      <w:r>
        <w:rPr/>
        <w:t>Legal</w:t>
      </w:r>
    </w:p>
    <w:p>
      <w:pPr>
        <w:pStyle w:val="ListBullet"/>
        <w:numPr>
          <w:ilvl w:val="0"/>
          <w:numId w:val="11"/>
        </w:numPr>
        <w:rPr/>
      </w:pPr>
      <w:r>
        <w:rPr/>
        <w:t>Continental Power</w:t>
      </w:r>
    </w:p>
    <w:p>
      <w:pPr>
        <w:pStyle w:val="ListBullet"/>
        <w:numPr>
          <w:ilvl w:val="0"/>
          <w:numId w:val="11"/>
        </w:numPr>
        <w:rPr/>
      </w:pPr>
      <w:r>
        <w:rPr/>
        <w:t>Credit</w:t>
      </w:r>
    </w:p>
    <w:p>
      <w:pPr>
        <w:pStyle w:val="ListBullet"/>
        <w:numPr>
          <w:ilvl w:val="0"/>
          <w:numId w:val="11"/>
        </w:numPr>
        <w:rPr/>
      </w:pPr>
      <w:r>
        <w:rPr/>
        <w:t>Live Link</w:t>
      </w:r>
    </w:p>
    <w:p>
      <w:pPr>
        <w:pStyle w:val="ListBullet"/>
        <w:numPr>
          <w:ilvl w:val="0"/>
          <w:numId w:val="0"/>
        </w:numPr>
        <w:ind w:hanging="0" w:start="360" w:end="360"/>
        <w:rPr/>
      </w:pPr>
      <w:r>
        <w:rPr/>
      </w:r>
    </w:p>
    <w:p>
      <w:pPr>
        <w:pStyle w:val="ListBullet"/>
        <w:numPr>
          <w:ilvl w:val="0"/>
          <w:numId w:val="0"/>
        </w:numPr>
        <w:ind w:hanging="0" w:start="360" w:end="360"/>
        <w:rPr/>
      </w:pPr>
      <w:r>
        <w:rPr/>
      </w:r>
    </w:p>
    <w:p>
      <w:pPr>
        <w:pStyle w:val="Heading1"/>
        <w:ind w:hanging="0" w:start="0"/>
        <w:jc w:val="both"/>
        <w:rPr/>
      </w:pPr>
      <w:r>
        <w:rPr/>
        <w:t>Teleconference Information:</w:t>
      </w:r>
    </w:p>
    <w:p>
      <w:pPr>
        <w:pStyle w:val="ListBullet"/>
        <w:numPr>
          <w:ilvl w:val="0"/>
          <w:numId w:val="11"/>
        </w:numPr>
        <w:rPr/>
      </w:pPr>
      <w:r>
        <w:rPr/>
        <w:fldChar w:fldCharType="begin"/>
      </w:r>
      <w:r>
        <w:rPr/>
        <w:instrText xml:space="preserve"> MACROBUTTON NoMacro Telephone</w:instrText>
      </w:r>
      <w:r>
        <w:rPr/>
        <w:fldChar w:fldCharType="separate"/>
      </w:r>
      <w:r>
        <w:rPr/>
        <w:t>Telephone</w:t>
      </w:r>
      <w:r>
        <w:rPr/>
        <w:fldChar w:fldCharType="end"/>
      </w:r>
    </w:p>
    <w:p>
      <w:pPr>
        <w:pStyle w:val="Heading1"/>
        <w:ind w:hanging="0" w:start="0"/>
        <w:rPr/>
      </w:pPr>
      <w:r>
        <w:rPr/>
        <w:t>Please Bring:</w:t>
      </w:r>
    </w:p>
    <w:p>
      <w:pPr>
        <w:pStyle w:val="ListBullet"/>
        <w:numPr>
          <w:ilvl w:val="0"/>
          <w:numId w:val="11"/>
        </w:numPr>
        <w:rPr/>
      </w:pPr>
      <w:r>
        <w:rPr/>
        <w:t>Questionnaire.</w:t>
      </w:r>
    </w:p>
    <w:p>
      <w:pPr>
        <w:pStyle w:val="BodyText"/>
        <w:rPr/>
      </w:pPr>
      <w:r>
        <w:rPr/>
        <w:t xml:space="preserve"> </w:t>
      </w:r>
      <w:r>
        <w:br w:type="page"/>
      </w:r>
    </w:p>
    <w:p>
      <w:pPr>
        <w:pStyle w:val="BodyTex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Presentation Guideline for Current / Future Clearing Needs</w:t>
      </w:r>
    </w:p>
    <w:p>
      <w:pPr>
        <w:pStyle w:val="BodyText"/>
        <w:jc w:val="center"/>
        <w:rPr>
          <w:b/>
          <w:i/>
          <w:i/>
        </w:rPr>
      </w:pPr>
      <w:r>
        <w:rPr>
          <w:b/>
          <w:i/>
        </w:rPr>
        <w:t>Users should come prepared to discuss the following:</w:t>
      </w:r>
    </w:p>
    <w:p>
      <w:pPr>
        <w:pStyle w:val="BodyText"/>
        <w:rPr>
          <w:b/>
          <w:i/>
          <w:i/>
        </w:rPr>
      </w:pPr>
      <w:r>
        <w:rPr>
          <w:b/>
          <w:i/>
        </w:rPr>
      </w:r>
    </w:p>
    <w:p>
      <w:pPr>
        <w:pStyle w:val="BodyText"/>
        <w:numPr>
          <w:ilvl w:val="0"/>
          <w:numId w:val="9"/>
        </w:numPr>
        <w:rPr/>
      </w:pPr>
      <w:r>
        <w:rPr/>
        <w:t>Volume of deals done per month</w:t>
      </w:r>
    </w:p>
    <w:p>
      <w:pPr>
        <w:pStyle w:val="BodyText"/>
        <w:numPr>
          <w:ilvl w:val="0"/>
          <w:numId w:val="9"/>
        </w:numPr>
        <w:rPr>
          <w:b/>
        </w:rPr>
      </w:pPr>
      <w:r>
        <w:rPr/>
        <w:t>Peak Daily Volume</w:t>
      </w:r>
    </w:p>
    <w:p>
      <w:pPr>
        <w:pStyle w:val="BodyText"/>
        <w:numPr>
          <w:ilvl w:val="0"/>
          <w:numId w:val="9"/>
        </w:numPr>
        <w:rPr>
          <w:b/>
        </w:rPr>
      </w:pPr>
      <w:r>
        <w:rPr/>
        <w:t>Percentage of EOL deals</w:t>
      </w:r>
    </w:p>
    <w:p>
      <w:pPr>
        <w:pStyle w:val="BodyText"/>
        <w:numPr>
          <w:ilvl w:val="0"/>
          <w:numId w:val="9"/>
        </w:numPr>
        <w:rPr>
          <w:b/>
        </w:rPr>
      </w:pPr>
      <w:r>
        <w:rPr/>
        <w:t>Turnaround Requirements (e.g. must have confirmation out in 24 hours etc)</w:t>
      </w:r>
    </w:p>
    <w:p>
      <w:pPr>
        <w:pStyle w:val="BodyText"/>
        <w:numPr>
          <w:ilvl w:val="0"/>
          <w:numId w:val="9"/>
        </w:numPr>
        <w:rPr>
          <w:b/>
        </w:rPr>
      </w:pPr>
      <w:r>
        <w:rPr/>
        <w:t>Verification Required (e.g. Broker phone call, broker statement)</w:t>
      </w:r>
    </w:p>
    <w:p>
      <w:pPr>
        <w:pStyle w:val="BodyText"/>
        <w:numPr>
          <w:ilvl w:val="0"/>
          <w:numId w:val="9"/>
        </w:numPr>
        <w:rPr>
          <w:b/>
        </w:rPr>
      </w:pPr>
      <w:r>
        <w:rPr/>
        <w:t>Reporting requirements (e.g. Counterparty follow up reports)</w:t>
      </w:r>
    </w:p>
    <w:p>
      <w:pPr>
        <w:pStyle w:val="BodyText"/>
        <w:numPr>
          <w:ilvl w:val="0"/>
          <w:numId w:val="9"/>
        </w:numPr>
        <w:rPr>
          <w:b/>
        </w:rPr>
      </w:pPr>
      <w:r>
        <w:rPr/>
        <w:t>Nature (Physical vs. Financial)</w:t>
      </w:r>
    </w:p>
    <w:p>
      <w:pPr>
        <w:pStyle w:val="BodyText"/>
        <w:numPr>
          <w:ilvl w:val="0"/>
          <w:numId w:val="9"/>
        </w:numPr>
        <w:rPr>
          <w:b/>
        </w:rPr>
      </w:pPr>
      <w:r>
        <w:rPr/>
        <w:t>Data that require automation (credit language, Index language)</w:t>
      </w:r>
    </w:p>
    <w:p>
      <w:pPr>
        <w:pStyle w:val="BodyText"/>
        <w:numPr>
          <w:ilvl w:val="0"/>
          <w:numId w:val="9"/>
        </w:numPr>
        <w:rPr>
          <w:b/>
        </w:rPr>
      </w:pPr>
      <w:r>
        <w:rPr/>
        <w:t>Legal Requirements</w:t>
      </w:r>
    </w:p>
    <w:p>
      <w:pPr>
        <w:pStyle w:val="BodyText"/>
        <w:numPr>
          <w:ilvl w:val="0"/>
          <w:numId w:val="9"/>
        </w:numPr>
        <w:rPr>
          <w:b/>
        </w:rPr>
      </w:pPr>
      <w:r>
        <w:rPr/>
        <w:t>Types of Contracts</w:t>
      </w:r>
    </w:p>
    <w:p>
      <w:pPr>
        <w:pStyle w:val="BodyText"/>
        <w:numPr>
          <w:ilvl w:val="0"/>
          <w:numId w:val="9"/>
        </w:numPr>
        <w:rPr>
          <w:b/>
        </w:rPr>
      </w:pPr>
      <w:r>
        <w:rPr/>
        <w:t>Language Requirements</w:t>
      </w:r>
    </w:p>
    <w:p>
      <w:pPr>
        <w:pStyle w:val="BodyText"/>
        <w:numPr>
          <w:ilvl w:val="0"/>
          <w:numId w:val="9"/>
        </w:numPr>
        <w:rPr>
          <w:b/>
        </w:rPr>
      </w:pPr>
      <w:r>
        <w:rPr/>
        <w:t>Problems with existing system</w:t>
      </w:r>
    </w:p>
    <w:p>
      <w:pPr>
        <w:pStyle w:val="BodyText"/>
        <w:numPr>
          <w:ilvl w:val="0"/>
          <w:numId w:val="9"/>
        </w:numPr>
        <w:rPr>
          <w:b/>
        </w:rPr>
      </w:pPr>
      <w:r>
        <w:rPr/>
        <w:t>Future Trends</w:t>
      </w:r>
    </w:p>
    <w:p>
      <w:pPr>
        <w:pStyle w:val="ListBullet41"/>
        <w:numPr>
          <w:ilvl w:val="3"/>
          <w:numId w:val="11"/>
        </w:numPr>
        <w:spacing w:before="0" w:after="0"/>
        <w:rPr/>
      </w:pPr>
      <w:r>
        <w:rPr/>
        <w:t>Electronic signatures recognized legally</w:t>
      </w:r>
    </w:p>
    <w:p>
      <w:pPr>
        <w:pStyle w:val="ListBullet41"/>
        <w:numPr>
          <w:ilvl w:val="3"/>
          <w:numId w:val="11"/>
        </w:numPr>
        <w:spacing w:before="0" w:after="0"/>
        <w:rPr/>
      </w:pPr>
      <w:r>
        <w:rPr/>
        <w:t>Web based confirms instead of paper</w:t>
      </w:r>
    </w:p>
    <w:p>
      <w:pPr>
        <w:pStyle w:val="ListBullet41"/>
        <w:numPr>
          <w:ilvl w:val="3"/>
          <w:numId w:val="11"/>
        </w:numPr>
        <w:spacing w:before="0" w:after="0"/>
        <w:rPr/>
      </w:pPr>
      <w:r>
        <w:rPr/>
        <w:t>Trades done online without confirm</w:t>
      </w:r>
    </w:p>
    <w:p>
      <w:pPr>
        <w:pStyle w:val="ListBullet41"/>
        <w:numPr>
          <w:ilvl w:val="3"/>
          <w:numId w:val="11"/>
        </w:numPr>
        <w:spacing w:before="0" w:after="0"/>
        <w:rPr/>
      </w:pPr>
      <w:r>
        <w:rPr/>
        <w:t>Standard products/  standard confirmations</w:t>
      </w:r>
    </w:p>
    <w:p>
      <w:pPr>
        <w:pStyle w:val="ListBullet41"/>
        <w:numPr>
          <w:ilvl w:val="3"/>
          <w:numId w:val="11"/>
        </w:numPr>
        <w:spacing w:before="0" w:after="0"/>
        <w:rPr/>
      </w:pPr>
      <w:r>
        <w:rPr/>
        <w:t>Global reach and scalability</w:t>
      </w:r>
    </w:p>
    <w:p>
      <w:pPr>
        <w:pStyle w:val="ListBullet41"/>
        <w:numPr>
          <w:ilvl w:val="0"/>
          <w:numId w:val="0"/>
        </w:numPr>
        <w:spacing w:before="0" w:after="0"/>
        <w:ind w:hanging="0" w:start="1440" w:end="1440"/>
        <w:rPr/>
      </w:pPr>
      <w:r>
        <w:rPr/>
        <w:t>-   Common business process &amp; system for all confirms</w:t>
      </w:r>
    </w:p>
    <w:p>
      <w:pPr>
        <w:pStyle w:val="ListBullet41"/>
        <w:numPr>
          <w:ilvl w:val="0"/>
          <w:numId w:val="0"/>
        </w:numPr>
        <w:ind w:hanging="0" w:start="0"/>
        <w:rPr/>
      </w:pPr>
      <w:r>
        <w:rPr/>
      </w:r>
    </w:p>
    <w:p>
      <w:pPr>
        <w:pStyle w:val="ListBullet41"/>
        <w:numPr>
          <w:ilvl w:val="0"/>
          <w:numId w:val="0"/>
        </w:numPr>
        <w:ind w:hanging="0" w:start="0"/>
        <w:rPr>
          <w:b/>
          <w:i/>
          <w:i/>
        </w:rPr>
      </w:pPr>
      <w:r>
        <w:rPr>
          <w:b/>
          <w:i/>
        </w:rPr>
        <w:t>KEY QUESTIONS TO ANSWER:</w:t>
      </w:r>
    </w:p>
    <w:p>
      <w:pPr>
        <w:pStyle w:val="ListBullet41"/>
        <w:numPr>
          <w:ilvl w:val="0"/>
          <w:numId w:val="6"/>
        </w:numPr>
        <w:rPr/>
      </w:pPr>
      <w:r>
        <w:rPr/>
        <w:t>What are the issues , problems and needs for trade confirms</w:t>
      </w:r>
    </w:p>
    <w:p>
      <w:pPr>
        <w:pStyle w:val="ListBullet41"/>
        <w:numPr>
          <w:ilvl w:val="0"/>
          <w:numId w:val="6"/>
        </w:numPr>
        <w:rPr/>
      </w:pPr>
      <w:r>
        <w:rPr/>
        <w:t>Are trade confirms required in the future? If so, what type of trades?</w:t>
      </w:r>
    </w:p>
    <w:p>
      <w:pPr>
        <w:pStyle w:val="ListBullet41"/>
        <w:numPr>
          <w:ilvl w:val="0"/>
          <w:numId w:val="6"/>
        </w:numPr>
        <w:rPr/>
      </w:pPr>
      <w:r>
        <w:rPr/>
        <w:t>To what extent can we standardize the business processes, systems and confirm data for trade confirms?</w:t>
      </w:r>
    </w:p>
    <w:p>
      <w:pPr>
        <w:pStyle w:val="ListBullet41"/>
        <w:numPr>
          <w:ilvl w:val="0"/>
          <w:numId w:val="6"/>
        </w:numPr>
        <w:rPr/>
      </w:pPr>
      <w:r>
        <w:rPr/>
        <w:t>How should we use the electronic market place for trade confirms?</w:t>
      </w:r>
    </w:p>
    <w:p>
      <w:pPr>
        <w:pStyle w:val="ListBullet41"/>
        <w:numPr>
          <w:ilvl w:val="0"/>
          <w:numId w:val="6"/>
        </w:numPr>
        <w:rPr/>
      </w:pPr>
      <w:r>
        <w:rPr/>
        <w:t>Is there a business case for development of a strategic conforms system?</w:t>
      </w:r>
    </w:p>
    <w:p>
      <w:pPr>
        <w:pStyle w:val="ListBullet41"/>
        <w:numPr>
          <w:ilvl w:val="0"/>
          <w:numId w:val="6"/>
        </w:numPr>
        <w:rPr/>
      </w:pPr>
      <w:r>
        <w:rPr/>
        <w:t>Should Houston and London consider partnership on developing such a system?</w:t>
      </w:r>
    </w:p>
    <w:p>
      <w:pPr>
        <w:pStyle w:val="ListBullet41"/>
        <w:numPr>
          <w:ilvl w:val="0"/>
          <w:numId w:val="0"/>
        </w:numPr>
        <w:ind w:hanging="0" w:start="0"/>
        <w:rPr/>
      </w:pPr>
      <w:r>
        <w:rPr/>
      </w:r>
    </w:p>
    <w:p>
      <w:pPr>
        <w:pStyle w:val="ListBullet41"/>
        <w:numPr>
          <w:ilvl w:val="0"/>
          <w:numId w:val="0"/>
        </w:numPr>
        <w:spacing w:before="0" w:after="180"/>
        <w:ind w:hanging="0" w:start="1440" w:end="144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0"/>
      <w:rPr/>
    </w:pPr>
    <w:r>
      <w:rPr/>
      <w:t>Enron Net Works, LLC</w:t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ab/>
      <w:t>By Sarita Das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ckThinSmallGap" w:sz="24" w:space="1" w:color="000000"/>
      </w:pBdr>
      <w:spacing w:before="240" w:after="0"/>
      <w:rPr/>
    </w:pPr>
    <w:r>
      <w:rPr/>
      <w:t>Enron Net Works, LLC</w:t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ab/>
      <w:t>By Sarita Das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nThickSmallGap" w:sz="24" w:space="1" w:color="000000"/>
      </w:pBdr>
      <w:tabs>
        <w:tab w:val="clear" w:pos="4320"/>
        <w:tab w:val="clear" w:pos="8640"/>
        <w:tab w:val="right" w:pos="9360" w:leader="none"/>
      </w:tabs>
      <w:rPr/>
    </w:pPr>
    <w:r>
      <w:rPr/>
      <w:t>Deal Clearing Applications</w:t>
    </w:r>
  </w:p>
  <w:p>
    <w:pPr>
      <w:pStyle w:val="Header"/>
      <w:tabs>
        <w:tab w:val="clear" w:pos="4320"/>
        <w:tab w:val="clear" w:pos="8640"/>
        <w:tab w:val="right" w:pos="9360" w:leader="none"/>
      </w:tabs>
      <w:spacing w:before="0" w:after="280"/>
      <w:jc w:val="end"/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nThickSmallGap" w:sz="24" w:space="1" w:color="000000"/>
      </w:pBdr>
      <w:tabs>
        <w:tab w:val="clear" w:pos="4320"/>
        <w:tab w:val="clear" w:pos="8640"/>
        <w:tab w:val="right" w:pos="9360" w:leader="none"/>
      </w:tabs>
      <w:rPr/>
    </w:pPr>
    <w:r>
      <w:rPr/>
      <w:t>Deal Clearing Application</w:t>
    </w:r>
  </w:p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upperLetter"/>
      <w:lvlText w:val="%1)"/>
      <w:lvlJc w:val="start"/>
      <w:pPr>
        <w:tabs>
          <w:tab w:val="num" w:pos="360"/>
        </w:tabs>
        <w:ind w:start="360" w:hanging="360"/>
      </w:pPr>
      <w:rPr>
        <w:i/>
        <w:b/>
      </w:rPr>
    </w:lvl>
  </w:abstractNum>
  <w:abstractNum w:abstractNumId="7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1.%2"/>
      <w:lvlJc w:val="start"/>
      <w:pPr>
        <w:tabs>
          <w:tab w:val="num" w:pos="720"/>
        </w:tabs>
        <w:ind w:start="720" w:hanging="720"/>
      </w:pPr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792" w:hanging="792"/>
      </w:pPr>
    </w:lvl>
    <w:lvl w:ilvl="5">
      <w:start w:val="1"/>
      <w:numFmt w:val="decimal"/>
      <w:lvlText w:val="%1.%2.%3.%4.%5.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decimal"/>
      <w:lvlText w:val="%1.%2.%3.%4.%5.%6.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</w:lvl>
  </w:abstractNum>
  <w:abstractNum w:abstractNumId="8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lowerLetter"/>
      <w:lvlText w:val="%4)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</w:lvl>
    <w:lvl w:ilvl="5">
      <w:start w:val="1"/>
      <w:numFmt w:val="lowerLetter"/>
      <w:lvlText w:val="(%6)"/>
      <w:lvlJc w:val="start"/>
      <w:pPr>
        <w:tabs>
          <w:tab w:val="num" w:pos="2520"/>
        </w:tabs>
        <w:ind w:start="2520" w:hanging="360"/>
      </w:pPr>
    </w:lvl>
    <w:lvl w:ilvl="6">
      <w:start w:val="1"/>
      <w:numFmt w:val="lowerRoman"/>
      <w:lvlText w:val="(%7)"/>
      <w:lvlJc w:val="start"/>
      <w:pPr>
        <w:tabs>
          <w:tab w:val="num" w:pos="3240"/>
        </w:tabs>
        <w:ind w:start="2880" w:hanging="360"/>
      </w:pPr>
    </w:lvl>
    <w:lvl w:ilvl="7">
      <w:start w:val="1"/>
      <w:numFmt w:val="lowerLetter"/>
      <w:lvlText w:val="(%8)"/>
      <w:lvlJc w:val="start"/>
      <w:pPr>
        <w:tabs>
          <w:tab w:val="num" w:pos="3240"/>
        </w:tabs>
        <w:ind w:start="3240" w:hanging="360"/>
      </w:pPr>
    </w:lvl>
    <w:lvl w:ilvl="8">
      <w:start w:val="1"/>
      <w:numFmt w:val="lowerRoman"/>
      <w:lvlText w:val="(%9)"/>
      <w:lvlJc w:val="start"/>
      <w:pPr>
        <w:tabs>
          <w:tab w:val="num" w:pos="3960"/>
        </w:tabs>
        <w:ind w:start="3600" w:hanging="360"/>
      </w:pPr>
    </w:lvl>
  </w:abstractNum>
  <w:abstractNum w:abstractNumId="9">
    <w:lvl w:ilvl="0">
      <w:start w:val="1"/>
      <w:numFmt w:val="upperRoman"/>
      <w:lvlText w:val="(%1)"/>
      <w:lvlJc w:val="start"/>
      <w:pPr>
        <w:tabs>
          <w:tab w:val="num" w:pos="720"/>
        </w:tabs>
        <w:ind w:start="720" w:hanging="720"/>
      </w:pPr>
      <w:rPr/>
    </w:lvl>
  </w:abstractNum>
  <w:abstractNum w:abstractNumId="10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–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sz w:val="16"/>
      </w:rPr>
    </w:lvl>
    <w:lvl w:ilvl="3">
      <w:start w:val="1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sz w:val="12"/>
      </w:rPr>
    </w:lvl>
    <w:lvl w:ilvl="5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before="120" w:after="240"/>
      <w:outlineLvl w:val="0"/>
    </w:pPr>
    <w:rPr>
      <w:rFonts w:ascii="Arial Narrow" w:hAnsi="Arial Narrow" w:cs="Arial Narrow"/>
      <w:b/>
      <w:smallCaps/>
      <w:kern w:val="2"/>
      <w:sz w:val="32"/>
    </w:rPr>
  </w:style>
  <w:style w:type="paragraph" w:styleId="Heading2">
    <w:name w:val="heading 2"/>
    <w:basedOn w:val="Heading1"/>
    <w:next w:val="BodyText"/>
    <w:qFormat/>
    <w:pPr>
      <w:numPr>
        <w:ilvl w:val="1"/>
        <w:numId w:val="1"/>
      </w:numPr>
      <w:outlineLvl w:val="1"/>
    </w:pPr>
    <w:rPr>
      <w:i/>
      <w:caps w:val="false"/>
      <w:smallCaps w:val="false"/>
      <w:sz w:val="28"/>
    </w:rPr>
  </w:style>
  <w:style w:type="paragraph" w:styleId="Heading3">
    <w:name w:val="heading 3"/>
    <w:basedOn w:val="Heading1"/>
    <w:next w:val="BodyText"/>
    <w:qFormat/>
    <w:pPr>
      <w:numPr>
        <w:ilvl w:val="2"/>
        <w:numId w:val="1"/>
      </w:numPr>
      <w:outlineLvl w:val="2"/>
    </w:pPr>
    <w:rPr>
      <w:caps w:val="false"/>
      <w:smallCaps w:val="false"/>
      <w:sz w:val="24"/>
      <w:u w:val="single"/>
    </w:rPr>
  </w:style>
  <w:style w:type="paragraph" w:styleId="Heading4">
    <w:name w:val="heading 4"/>
    <w:basedOn w:val="Heading1"/>
    <w:next w:val="BodyText"/>
    <w:qFormat/>
    <w:pPr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  <w:sz w:val="16"/>
    </w:rPr>
  </w:style>
  <w:style w:type="character" w:styleId="WW8Num12z0">
    <w:name w:val="WW8Num12z0"/>
    <w:qFormat/>
    <w:rPr>
      <w:b/>
      <w:i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Wingdings" w:hAnsi="Wingdings" w:cs="Wingdings"/>
      <w:sz w:val="16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Times New Roman" w:hAnsi="Times New Roman" w:cs="Times New Roman"/>
    </w:rPr>
  </w:style>
  <w:style w:type="character" w:styleId="WW8Num19z2">
    <w:name w:val="WW8Num19z2"/>
    <w:qFormat/>
    <w:rPr>
      <w:rFonts w:ascii="Symbol" w:hAnsi="Symbol" w:cs="Symbol"/>
      <w:sz w:val="16"/>
    </w:rPr>
  </w:style>
  <w:style w:type="character" w:styleId="WW8Num19z4">
    <w:name w:val="WW8Num19z4"/>
    <w:qFormat/>
    <w:rPr>
      <w:rFonts w:ascii="Symbol" w:hAnsi="Symbol" w:cs="Symbol"/>
      <w:sz w:val="12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19z7">
    <w:name w:val="WW8Num19z7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Arial" w:hAnsi="Arial" w:cs="Arial"/>
      <w:sz w:val="20"/>
    </w:rPr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Emphasis">
    <w:name w:val="Emphasis"/>
    <w:basedOn w:val="DefaultParagraphFont"/>
    <w:qFormat/>
    <w:rPr>
      <w:i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Subtitle"/>
    <w:qFormat/>
    <w:pPr>
      <w:spacing w:before="0" w:after="120"/>
      <w:jc w:val="center"/>
    </w:pPr>
    <w:rPr>
      <w:rFonts w:ascii="Arial Narrow" w:hAnsi="Arial Narrow" w:cs="Arial Narrow"/>
      <w:b/>
      <w:smallCaps/>
      <w:kern w:val="2"/>
      <w:sz w:val="48"/>
    </w:rPr>
  </w:style>
  <w:style w:type="paragraph" w:styleId="BodyText">
    <w:name w:val="Body Text"/>
    <w:basedOn w:val="Normal"/>
    <w:pPr>
      <w:spacing w:before="0" w:after="240"/>
      <w:jc w:val="both"/>
    </w:pPr>
    <w:rPr>
      <w:sz w:val="24"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ioName">
    <w:name w:val="Bio Name"/>
    <w:basedOn w:val="Normal"/>
    <w:qFormat/>
    <w:pPr>
      <w:jc w:val="end"/>
    </w:pPr>
    <w:rPr>
      <w:rFonts w:ascii="Arial Narrow" w:hAnsi="Arial Narrow" w:cs="Arial Narrow"/>
      <w:b/>
      <w:sz w:val="24"/>
    </w:rPr>
  </w:style>
  <w:style w:type="paragraph" w:styleId="BioText">
    <w:name w:val="Bio Text"/>
    <w:basedOn w:val="Normal"/>
    <w:qFormat/>
    <w:pPr>
      <w:spacing w:before="0" w:after="180"/>
      <w:jc w:val="both"/>
    </w:pPr>
    <w:rPr>
      <w:sz w:val="24"/>
    </w:rPr>
  </w:style>
  <w:style w:type="paragraph" w:styleId="EnvelopeAddress">
    <w:name w:val="envelope address"/>
    <w:basedOn w:val="Normal"/>
    <w:pPr>
      <w:ind w:hanging="0" w:start="288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before="240" w:after="0"/>
    </w:pPr>
    <w:rPr>
      <w:rFonts w:ascii="Arial" w:hAnsi="Arial" w:cs="Arial"/>
      <w:smallCaps/>
      <w:sz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 Narrow" w:hAnsi="Arial Narrow" w:cs="Arial Narrow"/>
      <w:b/>
      <w:sz w:val="28"/>
    </w:rPr>
  </w:style>
  <w:style w:type="paragraph" w:styleId="ListBullet">
    <w:name w:val="List Bullet"/>
    <w:basedOn w:val="BodyText"/>
    <w:qFormat/>
    <w:pPr>
      <w:numPr>
        <w:ilvl w:val="0"/>
        <w:numId w:val="11"/>
      </w:numPr>
      <w:spacing w:before="0" w:after="180"/>
      <w:ind w:hanging="0" w:start="0" w:end="360"/>
    </w:pPr>
    <w:rPr/>
  </w:style>
  <w:style w:type="paragraph" w:styleId="ListBullet21">
    <w:name w:val="List Bullet 21"/>
    <w:basedOn w:val="ListBullet"/>
    <w:qFormat/>
    <w:pPr>
      <w:numPr>
        <w:ilvl w:val="0"/>
        <w:numId w:val="11"/>
      </w:numPr>
      <w:ind w:hanging="0" w:start="0" w:end="720"/>
    </w:pPr>
    <w:rPr/>
  </w:style>
  <w:style w:type="paragraph" w:styleId="ListBullet31">
    <w:name w:val="List Bullet 31"/>
    <w:basedOn w:val="ListBullet"/>
    <w:qFormat/>
    <w:pPr>
      <w:numPr>
        <w:ilvl w:val="0"/>
        <w:numId w:val="11"/>
      </w:numPr>
      <w:ind w:hanging="0" w:start="0" w:end="1080"/>
    </w:pPr>
    <w:rPr/>
  </w:style>
  <w:style w:type="paragraph" w:styleId="ListBullet41">
    <w:name w:val="List Bullet 41"/>
    <w:basedOn w:val="ListBullet"/>
    <w:qFormat/>
    <w:pPr>
      <w:numPr>
        <w:ilvl w:val="0"/>
        <w:numId w:val="11"/>
      </w:numPr>
      <w:ind w:hanging="0" w:start="0" w:end="1440"/>
    </w:pPr>
    <w:rPr/>
  </w:style>
  <w:style w:type="paragraph" w:styleId="ListBullet51">
    <w:name w:val="List Bullet 51"/>
    <w:basedOn w:val="ListBullet"/>
    <w:qFormat/>
    <w:pPr>
      <w:numPr>
        <w:ilvl w:val="0"/>
        <w:numId w:val="11"/>
      </w:numPr>
      <w:ind w:hanging="0" w:start="0" w:end="1800"/>
    </w:pPr>
    <w:rPr/>
  </w:style>
  <w:style w:type="paragraph" w:styleId="ListLegal">
    <w:name w:val="List Legal"/>
    <w:basedOn w:val="BodyText"/>
    <w:qFormat/>
    <w:pPr>
      <w:numPr>
        <w:ilvl w:val="0"/>
        <w:numId w:val="7"/>
      </w:numPr>
      <w:spacing w:before="0" w:after="180"/>
    </w:pPr>
    <w:rPr/>
  </w:style>
  <w:style w:type="paragraph" w:styleId="ListNumber">
    <w:name w:val="List Number"/>
    <w:basedOn w:val="BodyText"/>
    <w:qFormat/>
    <w:pPr>
      <w:numPr>
        <w:ilvl w:val="0"/>
        <w:numId w:val="8"/>
      </w:numPr>
      <w:spacing w:before="0" w:after="180"/>
    </w:pPr>
    <w:rPr/>
  </w:style>
  <w:style w:type="paragraph" w:styleId="Stamp">
    <w:name w:val="Stamp"/>
    <w:basedOn w:val="Normal"/>
    <w:qFormat/>
    <w:pPr>
      <w:jc w:val="center"/>
    </w:pPr>
    <w:rPr>
      <w:rFonts w:ascii="Arial Narrow" w:hAnsi="Arial Narrow" w:cs="Arial Narrow"/>
      <w:b/>
      <w:smallCaps/>
      <w:color w:val="C0C0C0"/>
      <w:sz w:val="72"/>
    </w:rPr>
  </w:style>
  <w:style w:type="paragraph" w:styleId="SubjectLine">
    <w:name w:val="Subject Line"/>
    <w:basedOn w:val="Normal"/>
    <w:next w:val="BodyText"/>
    <w:qFormat/>
    <w:pPr>
      <w:spacing w:lineRule="atLeast" w:line="240" w:before="80" w:after="240"/>
      <w:jc w:val="center"/>
    </w:pPr>
    <w:rPr>
      <w:rFonts w:ascii="Arial Narrow" w:hAnsi="Arial Narrow" w:cs="Arial Narrow"/>
      <w:b/>
      <w:sz w:val="28"/>
    </w:rPr>
  </w:style>
  <w:style w:type="paragraph" w:styleId="Subtitle">
    <w:name w:val="Subtitle"/>
    <w:basedOn w:val="Normal"/>
    <w:next w:val="BodyText"/>
    <w:qFormat/>
    <w:pPr>
      <w:spacing w:before="0" w:after="240"/>
      <w:jc w:val="center"/>
    </w:pPr>
    <w:rPr>
      <w:rFonts w:ascii="Arial Narrow" w:hAnsi="Arial Narrow" w:cs="Arial Narrow"/>
      <w:b/>
      <w:smallCaps/>
      <w:sz w:val="36"/>
    </w:rPr>
  </w:style>
  <w:style w:type="paragraph" w:styleId="TableText">
    <w:name w:val="TableText"/>
    <w:basedOn w:val="Normal"/>
    <w:qFormat/>
    <w:pPr>
      <w:spacing w:before="60" w:after="6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50" w:leader="underscore"/>
      </w:tabs>
      <w:spacing w:before="240" w:after="0"/>
      <w:ind w:hanging="0" w:start="2160" w:end="0"/>
    </w:pPr>
    <w:rPr>
      <w:rFonts w:ascii="Arial Narrow" w:hAnsi="Arial Narrow" w:cs="Arial Narrow"/>
      <w:b/>
      <w:lang w:val="en-CA"/>
    </w:rPr>
  </w:style>
  <w:style w:type="paragraph" w:styleId="TOC2">
    <w:name w:val="toc 2"/>
    <w:basedOn w:val="TOC1"/>
    <w:next w:val="Normal"/>
    <w:pPr>
      <w:tabs>
        <w:tab w:val="right" w:pos="9350" w:leader="dot"/>
      </w:tabs>
      <w:spacing w:before="120" w:after="0"/>
      <w:ind w:hanging="0" w:start="2520" w:end="0"/>
    </w:pPr>
    <w:rPr>
      <w:b w:val="false"/>
    </w:rPr>
  </w:style>
  <w:style w:type="paragraph" w:styleId="TOC3">
    <w:name w:val="toc 3"/>
    <w:basedOn w:val="TOC1"/>
    <w:next w:val="Normal"/>
    <w:pPr>
      <w:tabs>
        <w:tab w:val="right" w:pos="9350" w:leader="dot"/>
      </w:tabs>
      <w:spacing w:before="60" w:after="0"/>
      <w:ind w:hanging="0" w:start="2880" w:end="0"/>
    </w:pPr>
    <w:rPr>
      <w:b w:val="false"/>
      <w:sz w:val="20"/>
    </w:rPr>
  </w:style>
  <w:style w:type="paragraph" w:styleId="TOC4">
    <w:name w:val="toc 4"/>
    <w:basedOn w:val="TOC1"/>
    <w:next w:val="Normal"/>
    <w:pPr>
      <w:tabs>
        <w:tab w:val="clear" w:pos="9350"/>
      </w:tabs>
      <w:ind w:hanging="0" w:start="3024" w:end="0"/>
    </w:pPr>
    <w:rPr>
      <w:b w:val="false"/>
      <w:i/>
      <w:sz w:val="20"/>
    </w:rPr>
  </w:style>
  <w:style w:type="paragraph" w:styleId="TOC5">
    <w:name w:val="toc 5"/>
    <w:basedOn w:val="Normal"/>
    <w:next w:val="Normal"/>
    <w:pPr>
      <w:ind w:hanging="0" w:start="960" w:end="0"/>
    </w:pPr>
    <w:rPr/>
  </w:style>
  <w:style w:type="paragraph" w:styleId="TOC6">
    <w:name w:val="toc 6"/>
    <w:basedOn w:val="Normal"/>
    <w:next w:val="Normal"/>
    <w:pPr>
      <w:ind w:hanging="0" w:start="1200" w:end="0"/>
    </w:pPr>
    <w:rPr/>
  </w:style>
  <w:style w:type="paragraph" w:styleId="TOC7">
    <w:name w:val="toc 7"/>
    <w:basedOn w:val="Normal"/>
    <w:next w:val="Normal"/>
    <w:pPr>
      <w:ind w:hanging="0" w:start="1440" w:end="0"/>
    </w:pPr>
    <w:rPr/>
  </w:style>
  <w:style w:type="paragraph" w:styleId="TOC8">
    <w:name w:val="toc 8"/>
    <w:basedOn w:val="Normal"/>
    <w:next w:val="Normal"/>
    <w:pPr>
      <w:ind w:hanging="0" w:start="1680" w:end="0"/>
    </w:pPr>
    <w:rPr/>
  </w:style>
  <w:style w:type="paragraph" w:styleId="TOC9">
    <w:name w:val="toc 9"/>
    <w:basedOn w:val="Normal"/>
    <w:next w:val="Normal"/>
    <w:pPr>
      <w:ind w:hanging="0" w:start="1920" w:end="0"/>
    </w:pPr>
    <w:rPr/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BodyTextFirstIndent">
    <w:name w:val="Body Text First Indent"/>
    <w:basedOn w:val="BodyText"/>
    <w:qFormat/>
    <w:pPr>
      <w:spacing w:before="0" w:after="120"/>
      <w:ind w:firstLine="210" w:start="0" w:end="0"/>
      <w:jc w:val="start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ndnoteText">
    <w:name w:val="endnote text"/>
    <w:basedOn w:val="Normal"/>
    <w:pPr>
      <w:jc w:val="both"/>
    </w:pPr>
    <w:rPr>
      <w:sz w:val="20"/>
    </w:rPr>
  </w:style>
  <w:style w:type="paragraph" w:styleId="EnvelopeReturn">
    <w:name w:val="envelope return"/>
    <w:basedOn w:val="Normal"/>
    <w:pPr/>
    <w:rPr>
      <w:rFonts w:ascii="Arial" w:hAnsi="Arial" w:cs="Arial"/>
      <w:sz w:val="20"/>
    </w:rPr>
  </w:style>
  <w:style w:type="paragraph" w:styleId="FootnoteText">
    <w:name w:val="footnote text"/>
    <w:basedOn w:val="Normal"/>
    <w:pPr>
      <w:jc w:val="both"/>
    </w:pPr>
    <w:rPr>
      <w:sz w:val="20"/>
    </w:rPr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2">
    <w:name w:val="index 2"/>
    <w:basedOn w:val="Normal"/>
    <w:next w:val="Normal"/>
    <w:pPr>
      <w:ind w:hanging="240" w:start="480" w:end="0"/>
    </w:pPr>
    <w:rPr/>
  </w:style>
  <w:style w:type="paragraph" w:styleId="Index3">
    <w:name w:val="index 3"/>
    <w:basedOn w:val="Normal"/>
    <w:next w:val="Normal"/>
    <w:pPr>
      <w:ind w:hanging="240" w:start="720" w:end="0"/>
    </w:pPr>
    <w:rPr/>
  </w:style>
  <w:style w:type="paragraph" w:styleId="Index4">
    <w:name w:val="Index 4"/>
    <w:basedOn w:val="Normal"/>
    <w:next w:val="Normal"/>
    <w:qFormat/>
    <w:pPr>
      <w:ind w:hanging="240" w:start="960" w:end="0"/>
    </w:pPr>
    <w:rPr/>
  </w:style>
  <w:style w:type="paragraph" w:styleId="Index5">
    <w:name w:val="Index 5"/>
    <w:basedOn w:val="Normal"/>
    <w:next w:val="Normal"/>
    <w:qFormat/>
    <w:pPr>
      <w:ind w:hanging="240" w:start="1200" w:end="0"/>
    </w:pPr>
    <w:rPr/>
  </w:style>
  <w:style w:type="paragraph" w:styleId="Index6">
    <w:name w:val="Index 6"/>
    <w:basedOn w:val="Normal"/>
    <w:next w:val="Normal"/>
    <w:qFormat/>
    <w:pPr>
      <w:ind w:hanging="240" w:start="1440" w:end="0"/>
    </w:pPr>
    <w:rPr/>
  </w:style>
  <w:style w:type="paragraph" w:styleId="Index7">
    <w:name w:val="Index 7"/>
    <w:basedOn w:val="Normal"/>
    <w:next w:val="Normal"/>
    <w:qFormat/>
    <w:pPr>
      <w:ind w:hanging="240" w:start="1680" w:end="0"/>
    </w:pPr>
    <w:rPr/>
  </w:style>
  <w:style w:type="paragraph" w:styleId="Index8">
    <w:name w:val="Index 8"/>
    <w:basedOn w:val="Normal"/>
    <w:next w:val="Normal"/>
    <w:qFormat/>
    <w:pPr>
      <w:ind w:hanging="240" w:start="1920" w:end="0"/>
    </w:pPr>
    <w:rPr/>
  </w:style>
  <w:style w:type="paragraph" w:styleId="Index9">
    <w:name w:val="Index 9"/>
    <w:basedOn w:val="Normal"/>
    <w:next w:val="Normal"/>
    <w:qFormat/>
    <w:pPr>
      <w:ind w:hanging="240" w:start="216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zh-CN" w:bidi="hi-I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TableofAuthorities">
    <w:name w:val="Table of Authorities"/>
    <w:basedOn w:val="Normal"/>
    <w:next w:val="Normal"/>
    <w:qFormat/>
    <w:pPr>
      <w:ind w:hanging="240" w:start="240" w:end="0"/>
    </w:pPr>
    <w:rPr/>
  </w:style>
  <w:style w:type="paragraph" w:styleId="TableofFigures">
    <w:name w:val="Table of Figures"/>
    <w:basedOn w:val="Normal"/>
    <w:next w:val="Normal"/>
    <w:qFormat/>
    <w:pPr>
      <w:ind w:hanging="480" w:start="48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2000-10-11T11:56:00Z</dcterms:created>
  <dc:creator>sdas2</dc:creator>
  <dc:description/>
  <dc:language>en-CA</dc:language>
  <cp:lastModifiedBy>sdas2</cp:lastModifiedBy>
  <cp:lastPrinted>2000-10-16T14:57:00Z</cp:lastPrinted>
  <dcterms:modified xsi:type="dcterms:W3CDTF">2000-10-16T18:46:00Z</dcterms:modified>
  <cp:revision>13</cp:revision>
  <dc:subject/>
  <dc:title>MEETING TITLE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.995</vt:lpwstr>
  </property>
</Properties>
</file>