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Enron Capital &amp; Trade Resources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Caption"/>
        <w:rPr/>
      </w:pPr>
      <w:r>
        <w:rPr/>
        <w:t xml:space="preserve">CONFIRMATION </w:t>
      </w:r>
    </w:p>
    <w:p>
      <w:pPr>
        <w:pStyle w:val="Normal"/>
        <w:jc w:val="center"/>
        <w:rPr>
          <w:b/>
          <w:sz w:val="22"/>
        </w:rPr>
      </w:pPr>
      <w:r>
        <w:rPr>
          <w:b/>
          <w:sz w:val="22"/>
        </w:rPr>
      </w:r>
    </w:p>
    <w:p>
      <w:pPr>
        <w:pStyle w:val="Normal"/>
        <w:rPr>
          <w:b/>
          <w:sz w:val="22"/>
        </w:rPr>
      </w:pPr>
      <w:r>
        <w:rPr>
          <w:b/>
          <w:sz w:val="22"/>
        </w:rPr>
      </w:r>
    </w:p>
    <w:p>
      <w:pPr>
        <w:pStyle w:val="Normal"/>
        <w:ind w:firstLine="720" w:end="0"/>
        <w:rPr>
          <w:sz w:val="22"/>
        </w:rPr>
      </w:pPr>
      <w:r>
        <w:rPr>
          <w:sz w:val="22"/>
        </w:rPr>
        <w:t>Date:</w:t>
        <w:tab/>
        <w:tab/>
        <w:tab/>
        <w:tab/>
        <w:t>July 7, 1999</w:t>
      </w:r>
    </w:p>
    <w:p>
      <w:pPr>
        <w:pStyle w:val="Normal"/>
        <w:rPr>
          <w:sz w:val="22"/>
        </w:rPr>
      </w:pPr>
      <w:r>
        <w:rPr>
          <w:sz w:val="22"/>
        </w:rPr>
      </w:r>
    </w:p>
    <w:p>
      <w:pPr>
        <w:pStyle w:val="Normal"/>
        <w:ind w:firstLine="720" w:end="0"/>
        <w:rPr>
          <w:sz w:val="22"/>
        </w:rPr>
      </w:pPr>
      <w:r>
        <w:rPr>
          <w:sz w:val="22"/>
        </w:rPr>
        <w:t>To:</w:t>
        <w:tab/>
        <w:tab/>
        <w:tab/>
        <w:tab/>
        <w:t>J.D. Irving, Limited (“Counterparty”)</w:t>
      </w:r>
    </w:p>
    <w:p>
      <w:pPr>
        <w:pStyle w:val="Normal"/>
        <w:rPr>
          <w:sz w:val="22"/>
        </w:rPr>
      </w:pPr>
      <w:r>
        <w:rPr>
          <w:sz w:val="22"/>
        </w:rPr>
      </w:r>
    </w:p>
    <w:p>
      <w:pPr>
        <w:pStyle w:val="Normal"/>
        <w:numPr>
          <w:ilvl w:val="0"/>
          <w:numId w:val="0"/>
        </w:numPr>
        <w:ind w:firstLine="720" w:end="0"/>
        <w:outlineLvl w:val="0"/>
        <w:rPr>
          <w:sz w:val="22"/>
        </w:rPr>
      </w:pPr>
      <w:r>
        <w:rPr>
          <w:sz w:val="22"/>
        </w:rPr>
        <w:t>Attention:</w:t>
        <w:tab/>
        <w:tab/>
        <w:tab/>
        <w:t>Mark Bettle</w:t>
      </w:r>
    </w:p>
    <w:p>
      <w:pPr>
        <w:pStyle w:val="Normal"/>
        <w:rPr>
          <w:sz w:val="22"/>
        </w:rPr>
      </w:pPr>
      <w:r>
        <w:rPr>
          <w:sz w:val="22"/>
        </w:rPr>
      </w:r>
    </w:p>
    <w:p>
      <w:pPr>
        <w:pStyle w:val="Normal"/>
        <w:ind w:firstLine="720" w:end="0"/>
        <w:rPr>
          <w:sz w:val="22"/>
        </w:rPr>
      </w:pPr>
      <w:r>
        <w:rPr>
          <w:sz w:val="22"/>
        </w:rPr>
        <w:t>Fax Number:</w:t>
        <w:tab/>
        <w:tab/>
        <w:tab/>
        <w:t>(506) 632-6446</w:t>
      </w:r>
    </w:p>
    <w:p>
      <w:pPr>
        <w:pStyle w:val="Normal"/>
        <w:ind w:firstLine="720" w:end="0"/>
        <w:rPr>
          <w:sz w:val="22"/>
        </w:rPr>
      </w:pPr>
      <w:r>
        <w:rPr>
          <w:sz w:val="22"/>
        </w:rPr>
      </w:r>
    </w:p>
    <w:p>
      <w:pPr>
        <w:pStyle w:val="Normal"/>
        <w:numPr>
          <w:ilvl w:val="0"/>
          <w:numId w:val="0"/>
        </w:numPr>
        <w:ind w:firstLine="720" w:end="0"/>
        <w:outlineLvl w:val="0"/>
        <w:rPr>
          <w:sz w:val="22"/>
        </w:rPr>
      </w:pPr>
      <w:r>
        <w:rPr>
          <w:sz w:val="22"/>
        </w:rPr>
        <w:t>From:</w:t>
        <w:tab/>
        <w:tab/>
        <w:tab/>
        <w:tab/>
        <w:t>Enron Capital &amp; Trade Resources Corp (“ECT”)</w:t>
      </w:r>
    </w:p>
    <w:p>
      <w:pPr>
        <w:pStyle w:val="Normal"/>
        <w:rPr>
          <w:sz w:val="22"/>
        </w:rPr>
      </w:pPr>
      <w:r>
        <w:rPr>
          <w:sz w:val="22"/>
        </w:rPr>
      </w:r>
    </w:p>
    <w:p>
      <w:pPr>
        <w:pStyle w:val="Normal"/>
        <w:ind w:firstLine="720" w:end="0"/>
        <w:rPr>
          <w:sz w:val="22"/>
        </w:rPr>
      </w:pPr>
      <w:r>
        <w:rPr>
          <w:sz w:val="22"/>
        </w:rPr>
        <w:t>Re:</w:t>
        <w:tab/>
        <w:tab/>
        <w:tab/>
        <w:tab/>
        <w:t>Commodity Swap, ECT Deal No. 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750" w:leader="none"/>
          <w:tab w:val="left" w:pos="7200" w:leader="none"/>
          <w:tab w:val="left" w:pos="7920" w:leader="none"/>
          <w:tab w:val="left" w:pos="8640" w:leader="none"/>
        </w:tabs>
        <w:jc w:val="both"/>
        <w:rPr>
          <w:sz w:val="22"/>
        </w:rPr>
      </w:pPr>
      <w:r>
        <w:rPr>
          <w:sz w:val="22"/>
        </w:rPr>
      </w:r>
    </w:p>
    <w:p>
      <w:pPr>
        <w:pStyle w:val="BodyTextIndent2"/>
        <w:rPr/>
      </w:pPr>
      <w:r>
        <w:rPr/>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sz w:val="22"/>
        </w:rPr>
      </w:pPr>
      <w:r>
        <w:rPr>
          <w:sz w:val="22"/>
        </w:rPr>
      </w:r>
    </w:p>
    <w:p>
      <w:pPr>
        <w:pStyle w:val="Normal"/>
        <w:numPr>
          <w:ilvl w:val="0"/>
          <w:numId w:val="0"/>
        </w:numPr>
        <w:outlineLvl w:val="0"/>
        <w:rPr>
          <w:sz w:val="22"/>
        </w:rPr>
      </w:pPr>
      <w:r>
        <w:rPr>
          <w:b/>
          <w:sz w:val="22"/>
          <w:u w:val="single"/>
        </w:rPr>
        <w:t>General Terms:</w:t>
      </w:r>
    </w:p>
    <w:p>
      <w:pPr>
        <w:pStyle w:val="Normal"/>
        <w:tabs>
          <w:tab w:val="clear" w:pos="720"/>
          <w:tab w:val="left" w:pos="4338" w:leader="none"/>
          <w:tab w:val="left" w:pos="9576" w:leader="none"/>
        </w:tabs>
        <w:rPr>
          <w:b/>
          <w:sz w:val="22"/>
        </w:rPr>
      </w:pPr>
      <w:r>
        <w:rPr>
          <w:b/>
          <w:sz w:val="22"/>
        </w:rPr>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snapToGrid w:val="false"/>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Total Notional Quantity:</w:t>
            </w:r>
          </w:p>
        </w:tc>
        <w:tc>
          <w:tcPr>
            <w:tcW w:w="5238" w:type="dxa"/>
            <w:tcBorders/>
          </w:tcPr>
          <w:p>
            <w:pPr>
              <w:pStyle w:val="Normal"/>
              <w:jc w:val="both"/>
              <w:rPr>
                <w:b/>
                <w:sz w:val="22"/>
              </w:rPr>
            </w:pPr>
            <w:r>
              <w:rPr>
                <w:b/>
                <w:sz w:val="22"/>
              </w:rPr>
              <w:t>[To be determined]</w:t>
            </w:r>
          </w:p>
        </w:tc>
      </w:tr>
      <w:tr>
        <w:trPr/>
        <w:tc>
          <w:tcPr>
            <w:tcW w:w="4338" w:type="dxa"/>
            <w:tcBorders/>
          </w:tcPr>
          <w:p>
            <w:pPr>
              <w:pStyle w:val="Normal"/>
              <w:snapToGrid w:val="false"/>
              <w:ind w:start="720" w:end="0"/>
              <w:jc w:val="both"/>
              <w:rPr>
                <w:b/>
                <w:sz w:val="22"/>
              </w:rPr>
            </w:pPr>
            <w:r>
              <w:rPr>
                <w:b/>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 xml:space="preserve">Notional Quantity per </w:t>
            </w:r>
          </w:p>
          <w:p>
            <w:pPr>
              <w:pStyle w:val="Normal"/>
              <w:ind w:start="720" w:end="0"/>
              <w:jc w:val="both"/>
              <w:rPr>
                <w:sz w:val="22"/>
              </w:rPr>
            </w:pPr>
            <w:r>
              <w:rPr>
                <w:sz w:val="22"/>
              </w:rPr>
              <w:t>Determination Period:</w:t>
            </w:r>
          </w:p>
        </w:tc>
        <w:tc>
          <w:tcPr>
            <w:tcW w:w="5238" w:type="dxa"/>
            <w:tcBorders/>
          </w:tcPr>
          <w:p>
            <w:pPr>
              <w:pStyle w:val="Normal"/>
              <w:snapToGrid w:val="false"/>
              <w:jc w:val="both"/>
              <w:rPr>
                <w:sz w:val="22"/>
              </w:rPr>
            </w:pPr>
            <w:r>
              <w:rPr>
                <w:sz w:val="22"/>
              </w:rPr>
            </w:r>
          </w:p>
          <w:p>
            <w:pPr>
              <w:pStyle w:val="Normal"/>
              <w:jc w:val="both"/>
              <w:rPr>
                <w:b/>
                <w:sz w:val="22"/>
              </w:rPr>
            </w:pPr>
            <w:r>
              <w:rPr>
                <w:b/>
                <w:sz w:val="22"/>
              </w:rPr>
              <w:t>[To be determined]</w:t>
            </w:r>
          </w:p>
        </w:tc>
      </w:tr>
      <w:tr>
        <w:trPr/>
        <w:tc>
          <w:tcPr>
            <w:tcW w:w="4338" w:type="dxa"/>
            <w:tcBorders/>
          </w:tcPr>
          <w:p>
            <w:pPr>
              <w:pStyle w:val="Normal"/>
              <w:snapToGrid w:val="false"/>
              <w:ind w:start="720" w:end="0"/>
              <w:jc w:val="both"/>
              <w:rPr>
                <w:b/>
                <w:sz w:val="22"/>
              </w:rPr>
            </w:pPr>
            <w:r>
              <w:rPr>
                <w:b/>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Commodity:</w:t>
            </w:r>
          </w:p>
        </w:tc>
        <w:tc>
          <w:tcPr>
            <w:tcW w:w="5238" w:type="dxa"/>
            <w:tcBorders/>
          </w:tcPr>
          <w:p>
            <w:pPr>
              <w:pStyle w:val="Normal"/>
              <w:jc w:val="both"/>
              <w:rPr>
                <w:sz w:val="22"/>
              </w:rPr>
            </w:pPr>
            <w:r>
              <w:rPr>
                <w:sz w:val="22"/>
              </w:rPr>
              <w:t>Spruce-Pine-Fir, Eastern, Kiln Dried (K.D.) 2x4, Std &amp; Btr</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Commodity Unit:</w:t>
            </w:r>
          </w:p>
        </w:tc>
        <w:tc>
          <w:tcPr>
            <w:tcW w:w="5238" w:type="dxa"/>
            <w:tcBorders/>
          </w:tcPr>
          <w:p>
            <w:pPr>
              <w:pStyle w:val="Normal"/>
              <w:jc w:val="both"/>
              <w:rPr/>
            </w:pPr>
            <w:r>
              <w:rPr>
                <w:color w:val="FF0000"/>
                <w:sz w:val="22"/>
              </w:rPr>
              <w:t xml:space="preserve">MBF </w:t>
            </w:r>
            <w:r>
              <w:rPr>
                <w:sz w:val="22"/>
              </w:rPr>
              <w:t>(Thousand Board Feet Measure)</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Trade Date:</w:t>
            </w:r>
          </w:p>
        </w:tc>
        <w:tc>
          <w:tcPr>
            <w:tcW w:w="5238" w:type="dxa"/>
            <w:tcBorders/>
          </w:tcPr>
          <w:p>
            <w:pPr>
              <w:pStyle w:val="Normal"/>
              <w:jc w:val="both"/>
              <w:rPr>
                <w:sz w:val="22"/>
              </w:rPr>
            </w:pPr>
            <w:r>
              <w:rPr>
                <w:b/>
                <w:sz w:val="22"/>
              </w:rPr>
              <w:t>[To be determined]</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Effective Date:</w:t>
            </w:r>
          </w:p>
        </w:tc>
        <w:tc>
          <w:tcPr>
            <w:tcW w:w="5238" w:type="dxa"/>
            <w:tcBorders/>
          </w:tcPr>
          <w:p>
            <w:pPr>
              <w:pStyle w:val="Normal"/>
              <w:jc w:val="both"/>
              <w:rPr>
                <w:sz w:val="22"/>
              </w:rPr>
            </w:pPr>
            <w:r>
              <w:rPr>
                <w:b/>
                <w:sz w:val="22"/>
              </w:rPr>
              <w:t>[To be determined]</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Termination Date:</w:t>
            </w:r>
          </w:p>
        </w:tc>
        <w:tc>
          <w:tcPr>
            <w:tcW w:w="5238" w:type="dxa"/>
            <w:tcBorders/>
          </w:tcPr>
          <w:p>
            <w:pPr>
              <w:pStyle w:val="Normal"/>
              <w:jc w:val="both"/>
              <w:rPr>
                <w:sz w:val="22"/>
              </w:rPr>
            </w:pPr>
            <w:r>
              <w:rPr>
                <w:b/>
                <w:sz w:val="22"/>
              </w:rPr>
              <w:t>[To be determined]</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Determination Period(s):</w:t>
            </w:r>
          </w:p>
        </w:tc>
        <w:tc>
          <w:tcPr>
            <w:tcW w:w="5238" w:type="dxa"/>
            <w:tcBorders/>
          </w:tcPr>
          <w:p>
            <w:pPr>
              <w:pStyle w:val="Normal"/>
              <w:jc w:val="both"/>
              <w:rPr>
                <w:sz w:val="22"/>
              </w:rPr>
            </w:pPr>
            <w:r>
              <w:rPr>
                <w:color w:val="000000"/>
                <w:sz w:val="22"/>
              </w:rPr>
              <w:t xml:space="preserve">Monthly periods, with the first Determination Period commencing on </w:t>
            </w:r>
            <w:r>
              <w:rPr>
                <w:b/>
                <w:color w:val="000000"/>
                <w:sz w:val="22"/>
              </w:rPr>
              <w:t>[To be determined]</w:t>
            </w:r>
            <w:r>
              <w:rPr>
                <w:color w:val="000000"/>
                <w:sz w:val="22"/>
              </w:rPr>
              <w:t xml:space="preserve"> and the final Determination Period ending on </w:t>
            </w:r>
            <w:r>
              <w:rPr>
                <w:b/>
                <w:color w:val="000000"/>
                <w:sz w:val="22"/>
              </w:rPr>
              <w:t>[To be determined]</w:t>
            </w:r>
          </w:p>
        </w:tc>
      </w:tr>
      <w:tr>
        <w:trPr/>
        <w:tc>
          <w:tcPr>
            <w:tcW w:w="4338" w:type="dxa"/>
            <w:tcBorders/>
          </w:tcPr>
          <w:p>
            <w:pPr>
              <w:pStyle w:val="Normal"/>
              <w:snapToGrid w:val="false"/>
              <w:ind w:start="720" w:end="0"/>
              <w:rPr>
                <w:sz w:val="22"/>
              </w:rPr>
            </w:pPr>
            <w:r>
              <w:rPr>
                <w:sz w:val="22"/>
              </w:rPr>
            </w:r>
          </w:p>
        </w:tc>
        <w:tc>
          <w:tcPr>
            <w:tcW w:w="5238" w:type="dxa"/>
            <w:tcBorders/>
          </w:tcPr>
          <w:p>
            <w:pPr>
              <w:pStyle w:val="Normal"/>
              <w:snapToGrid w:val="false"/>
              <w:rPr>
                <w:sz w:val="22"/>
              </w:rPr>
            </w:pPr>
            <w:r>
              <w:rPr>
                <w:sz w:val="22"/>
              </w:rPr>
            </w:r>
          </w:p>
        </w:tc>
      </w:tr>
      <w:tr>
        <w:trPr/>
        <w:tc>
          <w:tcPr>
            <w:tcW w:w="4338" w:type="dxa"/>
            <w:tcBorders/>
          </w:tcPr>
          <w:p>
            <w:pPr>
              <w:pStyle w:val="Normal"/>
              <w:ind w:start="720" w:end="0"/>
              <w:jc w:val="both"/>
              <w:rPr>
                <w:sz w:val="22"/>
              </w:rPr>
            </w:pPr>
            <w:r>
              <w:rPr>
                <w:sz w:val="22"/>
              </w:rPr>
              <w:t>Payment Date(s):</w:t>
            </w:r>
          </w:p>
        </w:tc>
        <w:tc>
          <w:tcPr>
            <w:tcW w:w="5238" w:type="dxa"/>
            <w:tcBorders/>
          </w:tcPr>
          <w:p>
            <w:pPr>
              <w:pStyle w:val="Normal"/>
              <w:jc w:val="both"/>
              <w:rPr/>
            </w:pPr>
            <w:r>
              <w:rPr>
                <w:sz w:val="22"/>
              </w:rPr>
              <w:t>The fifth (5</w:t>
            </w:r>
            <w:r>
              <w:rPr>
                <w:sz w:val="22"/>
                <w:vertAlign w:val="superscript"/>
              </w:rPr>
              <w:t>th</w:t>
            </w:r>
            <w:r>
              <w:rPr>
                <w:sz w:val="22"/>
              </w:rPr>
              <w:t>) Business Day following the last Pricing Date for the applicable Determination Period</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jc w:val="both"/>
              <w:rPr>
                <w:b/>
                <w:sz w:val="22"/>
              </w:rPr>
            </w:pPr>
            <w:r>
              <w:rPr>
                <w:b/>
                <w:sz w:val="22"/>
              </w:rPr>
              <w:t>Fixed Amount Details:</w:t>
            </w:r>
          </w:p>
        </w:tc>
        <w:tc>
          <w:tcPr>
            <w:tcW w:w="5238" w:type="dxa"/>
            <w:tcBorders/>
          </w:tcPr>
          <w:p>
            <w:pPr>
              <w:pStyle w:val="Normal"/>
              <w:snapToGrid w:val="false"/>
              <w:jc w:val="both"/>
              <w:rPr>
                <w:b/>
                <w:sz w:val="22"/>
              </w:rPr>
            </w:pPr>
            <w:r>
              <w:rPr>
                <w:b/>
                <w:sz w:val="22"/>
              </w:rPr>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Fixed Price Payor:</w:t>
            </w:r>
          </w:p>
        </w:tc>
        <w:tc>
          <w:tcPr>
            <w:tcW w:w="5238" w:type="dxa"/>
            <w:tcBorders/>
          </w:tcPr>
          <w:p>
            <w:pPr>
              <w:pStyle w:val="Normal"/>
              <w:jc w:val="both"/>
              <w:rPr>
                <w:sz w:val="22"/>
              </w:rPr>
            </w:pPr>
            <w:r>
              <w:rPr>
                <w:sz w:val="22"/>
              </w:rPr>
              <w:t>Counterparty</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Fixed Price:</w:t>
            </w:r>
          </w:p>
        </w:tc>
        <w:tc>
          <w:tcPr>
            <w:tcW w:w="5238" w:type="dxa"/>
            <w:tcBorders/>
          </w:tcPr>
          <w:p>
            <w:pPr>
              <w:pStyle w:val="Normal"/>
              <w:jc w:val="both"/>
              <w:rPr>
                <w:sz w:val="22"/>
              </w:rPr>
            </w:pPr>
            <w:r>
              <w:rPr>
                <w:b/>
                <w:sz w:val="22"/>
              </w:rPr>
              <w:t>[To be determined]</w:t>
            </w:r>
          </w:p>
        </w:tc>
      </w:tr>
    </w:tbl>
    <w:p>
      <w:pPr>
        <w:pStyle w:val="Normal"/>
        <w:rPr/>
      </w:pPr>
      <w:r>
        <w:rPr/>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jc w:val="both"/>
              <w:rPr>
                <w:b/>
                <w:sz w:val="22"/>
              </w:rPr>
            </w:pPr>
            <w:r>
              <w:rPr>
                <w:b/>
                <w:sz w:val="22"/>
              </w:rPr>
              <w:t>Floating Amount Details:</w:t>
            </w:r>
          </w:p>
        </w:tc>
        <w:tc>
          <w:tcPr>
            <w:tcW w:w="5238" w:type="dxa"/>
            <w:tcBorders/>
          </w:tcPr>
          <w:p>
            <w:pPr>
              <w:pStyle w:val="Normal"/>
              <w:snapToGrid w:val="false"/>
              <w:jc w:val="both"/>
              <w:rPr>
                <w:b/>
                <w:sz w:val="22"/>
              </w:rPr>
            </w:pPr>
            <w:r>
              <w:rPr>
                <w:b/>
                <w:sz w:val="22"/>
              </w:rPr>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rHeight w:val="477" w:hRule="atLeast"/>
        </w:trPr>
        <w:tc>
          <w:tcPr>
            <w:tcW w:w="4338" w:type="dxa"/>
            <w:tcBorders/>
          </w:tcPr>
          <w:p>
            <w:pPr>
              <w:pStyle w:val="Normal"/>
              <w:ind w:start="720" w:end="0"/>
              <w:jc w:val="both"/>
              <w:rPr>
                <w:sz w:val="22"/>
              </w:rPr>
            </w:pPr>
            <w:r>
              <w:rPr>
                <w:sz w:val="22"/>
              </w:rPr>
              <w:t>Floating Price Payor:</w:t>
            </w:r>
          </w:p>
        </w:tc>
        <w:tc>
          <w:tcPr>
            <w:tcW w:w="5238" w:type="dxa"/>
            <w:tcBorders/>
          </w:tcPr>
          <w:p>
            <w:pPr>
              <w:pStyle w:val="Normal"/>
              <w:jc w:val="both"/>
              <w:rPr>
                <w:sz w:val="22"/>
              </w:rPr>
            </w:pPr>
            <w:r>
              <w:rPr>
                <w:sz w:val="22"/>
              </w:rPr>
              <w:t xml:space="preserve">ECT </w:t>
            </w:r>
          </w:p>
        </w:tc>
      </w:tr>
      <w:tr>
        <w:trPr/>
        <w:tc>
          <w:tcPr>
            <w:tcW w:w="4338" w:type="dxa"/>
            <w:tcBorders/>
          </w:tcPr>
          <w:p>
            <w:pPr>
              <w:pStyle w:val="Normal"/>
              <w:snapToGrid w:val="false"/>
              <w:ind w:start="720" w:end="0"/>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Floating Price:</w:t>
            </w:r>
          </w:p>
        </w:tc>
        <w:tc>
          <w:tcPr>
            <w:tcW w:w="5238" w:type="dxa"/>
            <w:tcBorders/>
          </w:tcPr>
          <w:p>
            <w:pPr>
              <w:pStyle w:val="Normal"/>
              <w:jc w:val="both"/>
              <w:rPr>
                <w:sz w:val="22"/>
              </w:rPr>
            </w:pPr>
            <w:r>
              <w:rPr>
                <w:sz w:val="22"/>
              </w:rPr>
              <w:t>The Floating Price for each Determination Period shall be an amount equal to the arithmetic average</w:t>
            </w:r>
            <w:r>
              <w:rPr>
                <w:color w:val="FF0000"/>
                <w:sz w:val="22"/>
              </w:rPr>
              <w:t xml:space="preserve"> </w:t>
            </w:r>
            <w:r>
              <w:rPr>
                <w:sz w:val="22"/>
              </w:rPr>
              <w:t xml:space="preserve">of the prices of Spruce-Pine-Fir, Eastern, Kiln Dried (K.D.) 2x4, Std &amp; Btr, </w:t>
            </w:r>
            <w:r>
              <w:rPr>
                <w:color w:val="000000"/>
                <w:sz w:val="22"/>
              </w:rPr>
              <w:t>stated in U.S. Dollars, published under the heading “Framing Lumber: Kiln Dried Dimension: Spruce-Pine-Fir: Eastern: BOS” and opposite the caption “2x4 Std. &amp; Btr.”</w:t>
            </w:r>
            <w:r>
              <w:rPr>
                <w:sz w:val="22"/>
              </w:rPr>
              <w:t xml:space="preserve"> in the Friday issues</w:t>
            </w:r>
            <w:r>
              <w:rPr>
                <w:color w:val="000000"/>
                <w:sz w:val="22"/>
              </w:rPr>
              <w:t xml:space="preserve"> of each month of </w:t>
            </w:r>
            <w:r>
              <w:rPr>
                <w:color w:val="000000"/>
                <w:sz w:val="22"/>
                <w:u w:val="single"/>
              </w:rPr>
              <w:t xml:space="preserve">Random Lengths </w:t>
            </w:r>
            <w:r>
              <w:rPr>
                <w:sz w:val="22"/>
                <w:u w:val="single"/>
              </w:rPr>
              <w:t>Lumber Market Report</w:t>
            </w:r>
            <w:r>
              <w:rPr>
                <w:sz w:val="22"/>
              </w:rPr>
              <w:t xml:space="preserve">, or any successor publication, published by </w:t>
            </w:r>
            <w:r>
              <w:rPr>
                <w:sz w:val="22"/>
                <w:u w:val="single"/>
              </w:rPr>
              <w:t xml:space="preserve">Random Lengths Publications, Inc. </w:t>
            </w:r>
            <w:r>
              <w:rPr>
                <w:sz w:val="22"/>
              </w:rPr>
              <w:t>or its successor (the</w:t>
            </w:r>
            <w:r>
              <w:rPr>
                <w:color w:val="000000"/>
                <w:sz w:val="22"/>
              </w:rPr>
              <w:t xml:space="preserve"> “Floating Price Source”) that reports prices for the applicable Determination Period</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Alternate Floating Price Source:</w:t>
            </w:r>
          </w:p>
        </w:tc>
        <w:tc>
          <w:tcPr>
            <w:tcW w:w="5238" w:type="dxa"/>
            <w:tcBorders/>
          </w:tcPr>
          <w:p>
            <w:pPr>
              <w:pStyle w:val="Normal"/>
              <w:jc w:val="both"/>
              <w:rPr>
                <w:sz w:val="22"/>
              </w:rPr>
            </w:pPr>
            <w:r>
              <w:rPr>
                <w:b/>
                <w:sz w:val="22"/>
              </w:rPr>
              <w:t>[To be determined]</w:t>
            </w:r>
          </w:p>
        </w:tc>
      </w:tr>
      <w:tr>
        <w:trPr/>
        <w:tc>
          <w:tcPr>
            <w:tcW w:w="4338" w:type="dxa"/>
            <w:tcBorders/>
          </w:tcPr>
          <w:p>
            <w:pPr>
              <w:pStyle w:val="Normal"/>
              <w:snapToGrid w:val="false"/>
              <w:jc w:val="both"/>
              <w:rPr>
                <w:b/>
                <w:sz w:val="22"/>
              </w:rPr>
            </w:pPr>
            <w:r>
              <w:rPr>
                <w:b/>
                <w:sz w:val="22"/>
              </w:rPr>
            </w:r>
          </w:p>
        </w:tc>
        <w:tc>
          <w:tcPr>
            <w:tcW w:w="5238" w:type="dxa"/>
            <w:tcBorders/>
          </w:tcPr>
          <w:p>
            <w:pPr>
              <w:pStyle w:val="Normal"/>
              <w:snapToGrid w:val="false"/>
              <w:jc w:val="both"/>
              <w:rPr>
                <w:sz w:val="22"/>
                <w:u w:val="single"/>
              </w:rPr>
            </w:pPr>
            <w:r>
              <w:rPr>
                <w:sz w:val="22"/>
                <w:u w:val="single"/>
              </w:rPr>
            </w:r>
          </w:p>
        </w:tc>
      </w:tr>
    </w:tbl>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ind w:hanging="4410" w:start="4320" w:end="0"/>
        <w:rPr/>
      </w:pPr>
      <w:r>
        <w:rPr>
          <w:b/>
          <w:sz w:val="22"/>
        </w:rPr>
        <w:t>Contractual Currency:</w:t>
      </w:r>
      <w:r>
        <w:rPr>
          <w:sz w:val="22"/>
        </w:rPr>
        <w:tab/>
        <w:tab/>
        <w:tab/>
        <w:t>U.S. Dollars</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ind w:start="-90" w:end="0"/>
        <w:rPr/>
      </w:pPr>
      <w:r>
        <w:rPr>
          <w:b/>
          <w:sz w:val="22"/>
        </w:rPr>
        <w:t>Governing Law:</w:t>
      </w:r>
      <w:r>
        <w:rPr>
          <w:sz w:val="22"/>
        </w:rPr>
        <w:tab/>
        <w:tab/>
        <w:tab/>
        <w:t>Texas</w:t>
      </w:r>
    </w:p>
    <w:p>
      <w:pPr>
        <w:pStyle w:val="BodyTextIndent"/>
        <w:tabs>
          <w:tab w:val="left" w:pos="90" w:leader="none"/>
          <w:tab w:val="left" w:pos="2160" w:leader="none"/>
          <w:tab w:val="left" w:pos="4140" w:leader="none"/>
          <w:tab w:val="left" w:pos="4320" w:leader="none"/>
          <w:tab w:val="left" w:pos="6480" w:leader="none"/>
        </w:tabs>
        <w:ind w:start="-90" w:end="0"/>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ind w:start="-90" w:end="0"/>
        <w:rPr>
          <w:b/>
          <w:sz w:val="22"/>
        </w:rPr>
      </w:pPr>
      <w:r>
        <w:rPr>
          <w:b/>
          <w:sz w:val="22"/>
        </w:rPr>
        <w:t xml:space="preserve">General Terms and Conditions </w:t>
      </w:r>
    </w:p>
    <w:p>
      <w:pPr>
        <w:pStyle w:val="BodyTextIndent"/>
        <w:tabs>
          <w:tab w:val="left" w:pos="90" w:leader="none"/>
          <w:tab w:val="left" w:pos="2160" w:leader="none"/>
          <w:tab w:val="left" w:pos="4140" w:leader="none"/>
          <w:tab w:val="left" w:pos="4320" w:leader="none"/>
          <w:tab w:val="left" w:pos="6480" w:leader="none"/>
        </w:tabs>
        <w:ind w:hanging="4410" w:start="4320" w:end="0"/>
        <w:rPr/>
      </w:pPr>
      <w:r>
        <w:rPr>
          <w:b/>
          <w:sz w:val="22"/>
        </w:rPr>
        <w:t>of Confirmations:</w:t>
        <w:tab/>
        <w:tab/>
        <w:tab/>
      </w:r>
      <w:r>
        <w:rPr>
          <w:sz w:val="22"/>
        </w:rPr>
        <w:t>The general terms and conditions contained in Annex A attached hereto and made a part hereof apply and are incorporated herein by reference</w:t>
      </w:r>
    </w:p>
    <w:p>
      <w:pPr>
        <w:pStyle w:val="BodyTextIndent"/>
        <w:numPr>
          <w:ilvl w:val="0"/>
          <w:numId w:val="0"/>
        </w:numPr>
        <w:tabs>
          <w:tab w:val="left" w:pos="90" w:leader="none"/>
          <w:tab w:val="left" w:pos="2160" w:leader="none"/>
          <w:tab w:val="left" w:pos="4320" w:leader="none"/>
          <w:tab w:val="left" w:pos="6480" w:leader="none"/>
        </w:tabs>
        <w:ind w:hanging="4320" w:start="4320" w:end="0"/>
        <w:outlineLvl w:val="0"/>
        <w:rPr>
          <w:b/>
          <w:sz w:val="22"/>
        </w:rPr>
      </w:pPr>
      <w:r>
        <w:rPr>
          <w:b/>
          <w:sz w:val="22"/>
        </w:rPr>
      </w:r>
    </w:p>
    <w:p>
      <w:pPr>
        <w:pStyle w:val="BodyTextIndent"/>
        <w:numPr>
          <w:ilvl w:val="0"/>
          <w:numId w:val="0"/>
        </w:numPr>
        <w:tabs>
          <w:tab w:val="left" w:pos="90" w:leader="none"/>
          <w:tab w:val="left" w:pos="2160" w:leader="none"/>
          <w:tab w:val="left" w:pos="4320" w:leader="none"/>
          <w:tab w:val="left" w:pos="6480" w:leader="none"/>
        </w:tabs>
        <w:ind w:hanging="4320" w:start="4320" w:end="0"/>
        <w:outlineLvl w:val="0"/>
        <w:rPr/>
      </w:pPr>
      <w:r>
        <w:rPr>
          <w:b/>
          <w:sz w:val="22"/>
        </w:rPr>
        <w:t>Credit or Other Special Provisions:</w:t>
      </w:r>
      <w:r>
        <w:rPr>
          <w:sz w:val="22"/>
        </w:rPr>
        <w:tab/>
        <w:t>Transaction subject to credit approval.</w:t>
      </w:r>
      <w:r>
        <w:br w:type="page"/>
      </w:r>
    </w:p>
    <w:p>
      <w:pPr>
        <w:pStyle w:val="BodyTextIndent"/>
        <w:tabs>
          <w:tab w:val="left" w:pos="90" w:leader="none"/>
          <w:tab w:val="left" w:pos="2160" w:leader="none"/>
          <w:tab w:val="left" w:pos="4320" w:leader="none"/>
          <w:tab w:val="left" w:pos="6480" w:leader="none"/>
        </w:tabs>
        <w:ind w:hanging="5040" w:start="4320" w:end="0"/>
        <w:rPr>
          <w:b/>
          <w:sz w:val="22"/>
        </w:rPr>
      </w:pPr>
      <w:r>
        <w:rPr>
          <w:b/>
          <w:sz w:val="22"/>
        </w:rPr>
      </w:r>
    </w:p>
    <w:p>
      <w:pPr>
        <w:pStyle w:val="BodyTextIndent"/>
        <w:tabs>
          <w:tab w:val="left" w:pos="90" w:leader="none"/>
          <w:tab w:val="left" w:pos="810" w:leader="none"/>
          <w:tab w:val="left" w:pos="2160" w:leader="none"/>
          <w:tab w:val="left" w:pos="4320" w:leader="none"/>
          <w:tab w:val="left" w:pos="6480" w:leader="none"/>
        </w:tabs>
        <w:ind w:start="0" w:end="0"/>
        <w:rPr>
          <w:sz w:val="22"/>
        </w:rPr>
      </w:pPr>
      <w:r>
        <w:rPr>
          <w:sz w:val="22"/>
        </w:rPr>
        <w:tab/>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ind w:start="0" w:end="0"/>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numPr>
          <w:ilvl w:val="0"/>
          <w:numId w:val="0"/>
        </w:numPr>
        <w:tabs>
          <w:tab w:val="left" w:pos="90" w:leader="none"/>
          <w:tab w:val="left" w:pos="810" w:leader="none"/>
          <w:tab w:val="left" w:pos="2160" w:leader="none"/>
          <w:tab w:val="left" w:pos="4320" w:leader="none"/>
          <w:tab w:val="left" w:pos="6480" w:leader="none"/>
        </w:tabs>
        <w:ind w:hanging="0" w:start="0" w:end="0"/>
        <w:outlineLvl w:val="0"/>
        <w:rPr>
          <w:sz w:val="22"/>
        </w:rPr>
      </w:pPr>
      <w:r>
        <w:rPr>
          <w:sz w:val="22"/>
        </w:rPr>
        <w:t>Enron Capital &amp; Trade Resources Corp. is please to have entered into this Transaction with you.</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ind w:start="0" w:end="0"/>
        <w:rPr>
          <w:sz w:val="22"/>
        </w:rPr>
      </w:pPr>
      <w:r>
        <w:rPr>
          <w:sz w:val="22"/>
        </w:rPr>
        <w:t>Sincerely,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4680" w:leader="none"/>
          <w:tab w:val="left" w:pos="6480" w:leader="none"/>
        </w:tabs>
        <w:ind w:start="0" w:end="0"/>
        <w:rPr>
          <w:sz w:val="22"/>
        </w:rPr>
      </w:pPr>
      <w:r>
        <w:rPr>
          <w:sz w:val="22"/>
        </w:rPr>
        <w:t>Enron Capital &amp; Trade Resources Corp.</w:t>
        <w:tab/>
        <w:tab/>
        <w:t>J.D. Irving, Limited</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4680" w:leader="none"/>
          <w:tab w:val="left" w:pos="6480" w:leader="none"/>
        </w:tabs>
        <w:ind w:start="0" w:end="0"/>
        <w:rPr>
          <w:sz w:val="22"/>
        </w:rPr>
      </w:pPr>
      <w:r>
        <w:rPr>
          <w:sz w:val="22"/>
        </w:rPr>
        <w:t>By: ________DRAFT___________</w:t>
        <w:tab/>
        <w:tab/>
        <w:t>By:  __________DRAFT________</w:t>
        <w:tab/>
      </w:r>
    </w:p>
    <w:p>
      <w:pPr>
        <w:pStyle w:val="BodyTextIndent"/>
        <w:tabs>
          <w:tab w:val="left" w:pos="90" w:leader="none"/>
          <w:tab w:val="left" w:pos="810" w:leader="none"/>
          <w:tab w:val="left" w:pos="2160" w:leader="none"/>
          <w:tab w:val="left" w:pos="4140" w:leader="none"/>
          <w:tab w:val="left" w:pos="4680" w:leader="none"/>
          <w:tab w:val="left" w:pos="6480" w:leader="none"/>
        </w:tabs>
        <w:ind w:start="0" w:end="0"/>
        <w:rPr>
          <w:sz w:val="22"/>
        </w:rPr>
      </w:pPr>
      <w:r>
        <w:rPr>
          <w:sz w:val="22"/>
        </w:rPr>
        <w:t>Name: _______________________</w:t>
        <w:tab/>
        <w:tab/>
        <w:t>Name: ______________________</w:t>
      </w:r>
    </w:p>
    <w:p>
      <w:pPr>
        <w:pStyle w:val="BodyTextIndent"/>
        <w:tabs>
          <w:tab w:val="left" w:pos="90" w:leader="none"/>
          <w:tab w:val="left" w:pos="810" w:leader="none"/>
          <w:tab w:val="left" w:pos="2160" w:leader="none"/>
          <w:tab w:val="left" w:pos="4140" w:leader="none"/>
          <w:tab w:val="left" w:pos="4680" w:leader="none"/>
          <w:tab w:val="left" w:pos="6480" w:leader="none"/>
        </w:tabs>
        <w:ind w:start="0" w:end="0"/>
        <w:rPr>
          <w:sz w:val="22"/>
        </w:rPr>
      </w:pPr>
      <w:r>
        <w:rPr>
          <w:sz w:val="22"/>
        </w:rPr>
        <w:t>Title: ________________________</w:t>
        <w:tab/>
        <w:tab/>
        <w:t>Title: _______________________</w:t>
      </w:r>
    </w:p>
    <w:p>
      <w:pPr>
        <w:pStyle w:val="BodyTextIndent"/>
        <w:tabs>
          <w:tab w:val="left" w:pos="90" w:leader="none"/>
          <w:tab w:val="left" w:pos="810" w:leader="none"/>
          <w:tab w:val="left" w:pos="2160" w:leader="none"/>
          <w:tab w:val="left" w:pos="4140" w:leader="none"/>
          <w:tab w:val="left" w:pos="4680" w:leader="none"/>
          <w:tab w:val="left" w:pos="6480" w:leader="none"/>
        </w:tabs>
        <w:ind w:start="0" w:end="0"/>
        <w:rPr>
          <w:sz w:val="22"/>
        </w:rPr>
      </w:pPr>
      <w:r>
        <w:rPr>
          <w:sz w:val="22"/>
        </w:rPr>
        <w:t>Date: ________________________</w:t>
        <w:tab/>
        <w:tab/>
        <w:t>Date:  _______________________</w:t>
      </w:r>
      <w:r>
        <w:br w:type="page"/>
      </w:r>
    </w:p>
    <w:p>
      <w:pPr>
        <w:pStyle w:val="Normal"/>
        <w:rPr>
          <w:b/>
          <w:sz w:val="22"/>
        </w:rPr>
      </w:pPr>
      <w:r>
        <w:rPr>
          <w:b/>
          <w:sz w:val="22"/>
        </w:rPr>
        <w:t xml:space="preserve">COUNTERPARTY: AFTER YOU HAVE CONFIRMED TRANSACTION, PLEASE RETURN TO </w:t>
      </w:r>
      <w:r>
        <w:rPr>
          <w:b/>
          <w:sz w:val="22"/>
        </w:rPr>
        <w:fldChar w:fldCharType="begin"/>
      </w:r>
      <w:r>
        <w:rPr>
          <w:sz w:val="22"/>
          <w:b/>
        </w:rPr>
        <w:instrText xml:space="preserve"> MERGEFIELD EnronEntityCode </w:instrText>
      </w:r>
      <w:r>
        <w:rPr>
          <w:sz w:val="22"/>
          <w:b/>
        </w:rPr>
        <w:fldChar w:fldCharType="separate"/>
      </w:r>
      <w:r>
        <w:rPr>
          <w:sz w:val="22"/>
          <w:b/>
        </w:rPr>
        <w:t>ECT</w:t>
      </w:r>
      <w:r>
        <w:rPr>
          <w:sz w:val="22"/>
          <w:b/>
        </w:rPr>
        <w:fldChar w:fldCharType="end"/>
      </w:r>
      <w:r>
        <w:rPr>
          <w:b/>
          <w:sz w:val="22"/>
        </w:rPr>
        <w:t xml:space="preserve">, ATTENTION:  DIRECTOR OF DOCUMENTATION AT FAX NO </w:t>
      </w:r>
      <w:r>
        <w:rPr>
          <w:b/>
          <w:sz w:val="22"/>
        </w:rPr>
        <w:fldChar w:fldCharType="begin"/>
      </w:r>
      <w:r>
        <w:rPr>
          <w:sz w:val="22"/>
          <w:b/>
        </w:rPr>
        <w:instrText xml:space="preserve"> MERGEFIELD EnronCanadaFax </w:instrText>
      </w:r>
      <w:r>
        <w:rPr>
          <w:sz w:val="22"/>
          <w:b/>
        </w:rPr>
        <w:fldChar w:fldCharType="separate"/>
      </w:r>
      <w:r>
        <w:rPr>
          <w:sz w:val="22"/>
          <w:b/>
        </w:rPr>
        <w:t>(713) 646-4816</w:t>
      </w:r>
      <w:r>
        <w:rPr>
          <w:sz w:val="22"/>
          <w:b/>
        </w:rPr>
        <w:fldChar w:fldCharType="end"/>
      </w:r>
    </w:p>
    <w:p>
      <w:pPr>
        <w:pStyle w:val="Normal"/>
        <w:tabs>
          <w:tab w:val="clear" w:pos="720"/>
          <w:tab w:val="left" w:pos="8640" w:leader="none"/>
        </w:tabs>
        <w:rPr>
          <w:b/>
          <w:sz w:val="22"/>
        </w:rPr>
      </w:pPr>
      <w:r>
        <w:rPr>
          <w:b/>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 xml:space="preserve">Address for Notices to </w:t>
            </w:r>
            <w:r>
              <w:rPr>
                <w:b/>
                <w:sz w:val="22"/>
              </w:rPr>
              <w:fldChar w:fldCharType="begin"/>
            </w:r>
            <w:r>
              <w:rPr>
                <w:sz w:val="22"/>
                <w:b/>
              </w:rPr>
              <w:instrText xml:space="preserve"> MERGEFIELD EnronEntityCode </w:instrText>
            </w:r>
            <w:r>
              <w:rPr>
                <w:sz w:val="22"/>
                <w:b/>
              </w:rPr>
              <w:fldChar w:fldCharType="separate"/>
            </w:r>
            <w:r>
              <w:rPr>
                <w:sz w:val="22"/>
                <w:b/>
              </w:rPr>
              <w:t>ECT</w:t>
            </w:r>
            <w:r>
              <w:rPr>
                <w:sz w:val="22"/>
                <w:b/>
              </w:rPr>
              <w:fldChar w:fldCharType="end"/>
            </w:r>
            <w:r>
              <w:rPr>
                <w:b/>
                <w:sz w:val="22"/>
              </w:rPr>
              <w:t>:</w:t>
            </w:r>
          </w:p>
        </w:tc>
        <w:tc>
          <w:tcPr>
            <w:tcW w:w="4932" w:type="dxa"/>
            <w:tcBorders/>
          </w:tcPr>
          <w:p>
            <w:pPr>
              <w:pStyle w:val="Normal"/>
              <w:rPr>
                <w:sz w:val="22"/>
              </w:rPr>
            </w:pPr>
            <w:r>
              <w:rPr>
                <w:b/>
                <w:sz w:val="22"/>
              </w:rPr>
              <w:t xml:space="preserve">Payment Account Information for </w:t>
            </w:r>
            <w:r>
              <w:rPr>
                <w:b/>
                <w:sz w:val="22"/>
              </w:rPr>
              <w:fldChar w:fldCharType="begin"/>
            </w:r>
            <w:r>
              <w:rPr>
                <w:sz w:val="22"/>
                <w:b/>
              </w:rPr>
              <w:instrText xml:space="preserve"> MERGEFIELD EnronEntityCode </w:instrText>
            </w:r>
            <w:r>
              <w:rPr>
                <w:sz w:val="22"/>
                <w:b/>
              </w:rPr>
              <w:fldChar w:fldCharType="separate"/>
            </w:r>
            <w:r>
              <w:rPr>
                <w:sz w:val="22"/>
                <w:b/>
              </w:rPr>
              <w:t>ECT</w:t>
            </w:r>
            <w:r>
              <w:rPr>
                <w:sz w:val="22"/>
                <w:b/>
              </w:rPr>
              <w:fldChar w:fldCharType="end"/>
            </w:r>
            <w:r>
              <w:rPr>
                <w:b/>
                <w:sz w:val="22"/>
              </w:rPr>
              <w:t>:</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NationsBank of Texas, N.A.</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p>
      <w:pPr>
        <w:pStyle w:val="Normal"/>
        <w:rPr>
          <w:sz w:val="22"/>
        </w:rPr>
      </w:pPr>
      <w:r>
        <w:rPr>
          <w:b/>
          <w:sz w:val="22"/>
          <w:u w:val="single"/>
        </w:rPr>
        <w:t>Address for Notices to Counterparty:</w:t>
      </w:r>
      <w:r>
        <w:rPr>
          <w:sz w:val="22"/>
        </w:rPr>
        <w:t xml:space="preserve">   </w:t>
        <w:tab/>
      </w:r>
      <w:r>
        <w:rPr>
          <w:b/>
          <w:sz w:val="22"/>
          <w:u w:val="single"/>
        </w:rPr>
        <w:t>Payment Account Information for Counterparty:</w:t>
      </w:r>
    </w:p>
    <w:p>
      <w:pPr>
        <w:pStyle w:val="Normal"/>
        <w:rPr>
          <w:sz w:val="22"/>
        </w:rPr>
      </w:pPr>
      <w:r>
        <w:rPr>
          <w:sz w:val="22"/>
        </w:rPr>
      </w:r>
    </w:p>
    <w:p>
      <w:pPr>
        <w:pStyle w:val="Normal"/>
        <w:rPr>
          <w:sz w:val="22"/>
        </w:rPr>
      </w:pPr>
      <w:r>
        <w:rPr>
          <w:sz w:val="22"/>
        </w:rPr>
        <w:t>Address: ____________________________</w:t>
        <w:tab/>
        <w:t>_________________________________________</w:t>
      </w:r>
    </w:p>
    <w:p>
      <w:pPr>
        <w:pStyle w:val="Normal"/>
        <w:rPr>
          <w:sz w:val="22"/>
        </w:rPr>
      </w:pPr>
      <w:r>
        <w:rPr>
          <w:sz w:val="22"/>
        </w:rPr>
        <w:t>____________________________________</w:t>
        <w:tab/>
        <w:t>_________________________________________</w:t>
      </w:r>
    </w:p>
    <w:p>
      <w:pPr>
        <w:pStyle w:val="Normal"/>
        <w:rPr>
          <w:sz w:val="22"/>
        </w:rPr>
      </w:pPr>
      <w:r>
        <w:rPr>
          <w:sz w:val="22"/>
        </w:rPr>
        <w:t>____________________________________</w:t>
        <w:tab/>
        <w:t>_________________________________________</w:t>
      </w:r>
    </w:p>
    <w:p>
      <w:pPr>
        <w:pStyle w:val="Normal"/>
        <w:rPr>
          <w:sz w:val="22"/>
        </w:rPr>
      </w:pPr>
      <w:r>
        <w:rPr>
          <w:sz w:val="22"/>
        </w:rPr>
        <w:t>Attention: ___________________________</w:t>
        <w:tab/>
        <w:t>_________________________________________</w:t>
      </w:r>
    </w:p>
    <w:p>
      <w:pPr>
        <w:pStyle w:val="Normal"/>
        <w:rPr>
          <w:sz w:val="22"/>
        </w:rPr>
      </w:pPr>
      <w:r>
        <w:rPr>
          <w:sz w:val="22"/>
        </w:rPr>
        <w:t>Fax: ________________________________</w:t>
        <w:tab/>
        <w:t>_________________________________________</w:t>
      </w:r>
    </w:p>
    <w:p>
      <w:pPr>
        <w:pStyle w:val="Normal"/>
        <w:rPr>
          <w:sz w:val="22"/>
        </w:rPr>
      </w:pPr>
      <w:r>
        <w:rPr>
          <w:sz w:val="22"/>
        </w:rPr>
        <w:t>Phone: ______________________________</w:t>
        <w:tab/>
        <w:t>_________________________________________</w:t>
      </w:r>
    </w:p>
    <w:p>
      <w:pPr>
        <w:pStyle w:val="Normal"/>
        <w:rPr>
          <w:sz w:val="22"/>
        </w:rPr>
      </w:pPr>
      <w:r>
        <w:rPr>
          <w:sz w:val="22"/>
        </w:rPr>
      </w:r>
    </w:p>
    <w:p>
      <w:pPr>
        <w:pStyle w:val="Normal"/>
        <w:rPr>
          <w:sz w:val="22"/>
        </w:rPr>
      </w:pPr>
      <w:r>
        <w:rPr>
          <w:sz w:val="22"/>
        </w:rPr>
      </w:r>
    </w:p>
    <w:p>
      <w:pPr>
        <w:pStyle w:val="Normal"/>
        <w:rPr>
          <w:sz w:val="22"/>
        </w:rPr>
      </w:pPr>
      <w:r>
        <w:rPr>
          <w:b/>
          <w:sz w:val="22"/>
        </w:rPr>
        <w:t>COUNTERPARTY: PLEASE PROVIDE ABOVE REQUESTED INFORMATION IF NOT PROVIDED PREVIOUSLY OR IF CHANGES HAVE OCCURRED</w:t>
      </w:r>
    </w:p>
    <w:p>
      <w:pPr>
        <w:pStyle w:val="Normal"/>
        <w:rPr>
          <w:sz w:val="22"/>
        </w:rPr>
      </w:pPr>
      <w:r>
        <w:rPr>
          <w:sz w:val="22"/>
        </w:rPr>
      </w:r>
    </w:p>
    <w:p>
      <w:pPr>
        <w:pStyle w:val="Normal"/>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p>
      <w:pPr>
        <w:pStyle w:val="Normal"/>
        <w:ind w:firstLine="720" w:end="0"/>
        <w:jc w:val="both"/>
        <w:rPr>
          <w:b/>
          <w:sz w:val="22"/>
        </w:rPr>
      </w:pPr>
      <w:r>
        <w:rPr>
          <w:b/>
          <w:sz w:val="22"/>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230" w:leader="none"/>
        <w:tab w:val="left" w:pos="4860" w:leader="none"/>
        <w:tab w:val="right" w:pos="8640" w:leader="none"/>
      </w:tabs>
      <w:jc w:val="both"/>
      <w:rPr/>
    </w:pPr>
    <w:r>
      <w:rPr>
        <w:b/>
        <w:sz w:val="16"/>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p>
    <w:pPr>
      <w:pStyle w:val="Footer"/>
      <w:rPr/>
    </w:pPr>
    <w:r>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22"/>
      </w:rPr>
      <w:t xml:space="preserve">DRAFT  – TRANSACTION SUBJECT TO CREDIT APPROVAL                  </w:t>
    </w:r>
    <w:r>
      <w:rPr>
        <w:rFonts w:cs="Arial" w:ascii="Arial" w:hAnsi="Arial"/>
        <w:sz w:val="16"/>
      </w:rPr>
      <w:t xml:space="preserve">Deal No.  </w:t>
    </w:r>
    <w:r>
      <w:rPr>
        <w:rFonts w:cs="Arial" w:ascii="Arial" w:hAnsi="Arial"/>
        <w:sz w:val="16"/>
        <w:u w:val="single"/>
      </w:rPr>
      <w:t xml:space="preserve"> _____________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22"/>
      </w:rPr>
      <w:t xml:space="preserve">DRAFT  – TRANSACTION SUBJECT TO CREDIT APPROVAL                  </w:t>
    </w:r>
    <w:r>
      <w:rPr>
        <w:rFonts w:cs="Arial" w:ascii="Arial" w:hAnsi="Arial"/>
        <w:sz w:val="16"/>
      </w:rPr>
      <w:t xml:space="preserve">Deal No.  </w:t>
    </w:r>
    <w:r>
      <w:rPr>
        <w:rFonts w:cs="Arial" w:ascii="Arial" w:hAnsi="Arial"/>
        <w:sz w:val="16"/>
        <w:u w:val="single"/>
      </w:rPr>
      <w:t xml:space="preserve"> _____________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next w:val="Normal"/>
    <w:qFormat/>
    <w:pPr>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BodyText2">
    <w:name w:val="Body Text 2"/>
    <w:basedOn w:val="Normal"/>
    <w:qFormat/>
    <w:pPr>
      <w:jc w:val="both"/>
    </w:pPr>
    <w:rPr>
      <w:sz w:val="22"/>
    </w:rPr>
  </w:style>
  <w:style w:type="paragraph" w:styleId="BodyTextIndent2">
    <w:name w:val="Body Text Indent 2"/>
    <w:basedOn w:val="Normal"/>
    <w:qFormat/>
    <w:pPr>
      <w:ind w:firstLine="720" w:start="0" w:end="0"/>
      <w:jc w:val="both"/>
    </w:pPr>
    <w:rPr>
      <w:sz w:val="22"/>
    </w:rPr>
  </w:style>
  <w:style w:type="paragraph" w:styleId="BodyTextIndent3">
    <w:name w:val="Body Text Indent 3"/>
    <w:basedOn w:val="Normal"/>
    <w:qFormat/>
    <w:pPr>
      <w:ind w:firstLine="720" w:start="0" w:end="0"/>
      <w:jc w:val="both"/>
    </w:pPr>
    <w:rPr>
      <w:b/>
      <w:sz w:val="22"/>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1999-07-09T09:25:00Z</dcterms:created>
  <dc:creator>appinst</dc:creator>
  <dc:description/>
  <dc:language>en-CA</dc:language>
  <cp:lastModifiedBy>mlozano</cp:lastModifiedBy>
  <cp:lastPrinted>1999-06-03T11:29:00Z</cp:lastPrinted>
  <dcterms:modified xsi:type="dcterms:W3CDTF">1999-07-09T14:03:00Z</dcterms:modified>
  <cp:revision>5</cp:revision>
  <dc:subject/>
  <dc:title>[ECT LETTERHEAD]</dc:title>
</cp:coreProperties>
</file>