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jc w:val="center"/>
        <w:rPr/>
      </w:pPr>
      <w:r>
        <w:rPr/>
        <w:t>Potential Objection Themes and Rebuttal</w:t>
      </w:r>
    </w:p>
    <w:p>
      <w:pPr>
        <w:pStyle w:val="BodyText"/>
        <w:numPr>
          <w:ilvl w:val="0"/>
          <w:numId w:val="2"/>
        </w:numPr>
        <w:jc w:val="both"/>
        <w:rPr>
          <w:rFonts w:ascii="Arial" w:hAnsi="Arial" w:cs="Arial"/>
          <w:b w:val="false"/>
          <w:bCs w:val="false"/>
        </w:rPr>
      </w:pPr>
      <w:r>
        <w:rPr>
          <w:rFonts w:cs="Arial" w:ascii="Arial" w:hAnsi="Arial"/>
        </w:rPr>
        <w:t>Deal is not ready to graduate, or for the free option to be called yet</w:t>
      </w:r>
      <w:r>
        <w:rPr>
          <w:rStyle w:val="FootnoteCharacters"/>
          <w:rStyle w:val="FootnoteReference"/>
          <w:rFonts w:cs="Arial" w:ascii="Arial" w:hAnsi="Arial"/>
        </w:rPr>
        <w:footnoteReference w:id="2"/>
      </w:r>
      <w:r>
        <w:rPr>
          <w:rFonts w:cs="Arial" w:ascii="Arial" w:hAnsi="Arial"/>
        </w:rPr>
        <w:t>.</w:t>
      </w:r>
    </w:p>
    <w:p>
      <w:pPr>
        <w:pStyle w:val="BodyText"/>
        <w:numPr>
          <w:ilvl w:val="1"/>
          <w:numId w:val="2"/>
        </w:numPr>
        <w:jc w:val="both"/>
        <w:rPr>
          <w:rFonts w:ascii="Arial" w:hAnsi="Arial" w:cs="Arial"/>
          <w:b w:val="false"/>
          <w:bCs w:val="false"/>
        </w:rPr>
      </w:pPr>
      <w:r>
        <w:rPr>
          <w:rFonts w:cs="Arial" w:ascii="Arial" w:hAnsi="Arial"/>
          <w:b w:val="false"/>
          <w:bCs w:val="false"/>
        </w:rPr>
        <w:t>Team has done extensive research and analysis and has demonstrated the merits of the deal.  The deal has surpassed the “incubation” stage and now requires a different leadership skill set for execution.  Enron executives are asking that a term sheet/LOI be executed.</w:t>
      </w:r>
    </w:p>
    <w:p>
      <w:pPr>
        <w:pStyle w:val="BodyText"/>
        <w:numPr>
          <w:ilvl w:val="1"/>
          <w:numId w:val="2"/>
        </w:numPr>
        <w:jc w:val="both"/>
        <w:rPr>
          <w:rFonts w:ascii="Arial" w:hAnsi="Arial" w:cs="Arial"/>
          <w:b w:val="false"/>
          <w:bCs w:val="false"/>
        </w:rPr>
      </w:pPr>
      <w:r>
        <w:rPr>
          <w:rFonts w:cs="Arial" w:ascii="Arial" w:hAnsi="Arial"/>
          <w:b w:val="false"/>
          <w:bCs w:val="false"/>
        </w:rPr>
        <w:t>ENE Xtransco team has approached carriers; truckers; truckstops; origination capabilities at EES; and operations capabilities at EFS.</w:t>
      </w:r>
      <w:r>
        <w:rPr>
          <w:rFonts w:cs="Arial" w:ascii="Arial" w:hAnsi="Arial"/>
          <w:b w:val="false"/>
          <w:bCs w:val="false"/>
          <w:szCs w:val="20"/>
        </w:rPr>
        <w:t>   Each </w:t>
      </w:r>
      <w:r>
        <w:rPr>
          <w:rFonts w:cs="Arial" w:ascii="Arial" w:hAnsi="Arial"/>
          <w:b w:val="false"/>
          <w:bCs w:val="false"/>
        </w:rPr>
        <w:t>part</w:t>
      </w:r>
      <w:r>
        <w:rPr>
          <w:rFonts w:cs="Arial" w:ascii="Arial" w:hAnsi="Arial"/>
          <w:b w:val="false"/>
          <w:bCs w:val="false"/>
          <w:szCs w:val="20"/>
        </w:rPr>
        <w:t>y</w:t>
      </w:r>
      <w:r>
        <w:rPr>
          <w:rFonts w:cs="Arial" w:ascii="Arial" w:hAnsi="Arial"/>
          <w:b w:val="false"/>
          <w:bCs w:val="false"/>
        </w:rPr>
        <w:t xml:space="preserve"> believe</w:t>
      </w:r>
      <w:r>
        <w:rPr>
          <w:rFonts w:cs="Arial" w:ascii="Arial" w:hAnsi="Arial"/>
          <w:b w:val="false"/>
          <w:bCs w:val="false"/>
          <w:szCs w:val="20"/>
        </w:rPr>
        <w:t>s </w:t>
      </w:r>
      <w:r>
        <w:rPr>
          <w:rFonts w:cs="Arial" w:ascii="Arial" w:hAnsi="Arial"/>
          <w:b w:val="false"/>
          <w:bCs w:val="false"/>
        </w:rPr>
        <w:t>that </w:t>
      </w:r>
      <w:r>
        <w:rPr>
          <w:rFonts w:cs="Arial" w:ascii="Arial" w:hAnsi="Arial"/>
          <w:b w:val="false"/>
          <w:bCs w:val="false"/>
          <w:szCs w:val="20"/>
        </w:rPr>
        <w:t>this </w:t>
      </w:r>
      <w:r>
        <w:rPr>
          <w:rFonts w:cs="Arial" w:ascii="Arial" w:hAnsi="Arial"/>
          <w:b w:val="false"/>
          <w:bCs w:val="false"/>
        </w:rPr>
        <w:t>is more than </w:t>
      </w:r>
      <w:r>
        <w:rPr>
          <w:rFonts w:cs="Arial" w:ascii="Arial" w:hAnsi="Arial"/>
          <w:b w:val="false"/>
          <w:bCs w:val="false"/>
          <w:szCs w:val="20"/>
        </w:rPr>
        <w:t xml:space="preserve">just </w:t>
      </w:r>
      <w:r>
        <w:rPr>
          <w:rFonts w:cs="Arial" w:ascii="Arial" w:hAnsi="Arial"/>
          <w:b w:val="false"/>
          <w:bCs w:val="false"/>
        </w:rPr>
        <w:t>a business concept</w:t>
      </w:r>
      <w:r>
        <w:rPr>
          <w:rFonts w:cs="Arial" w:ascii="Arial" w:hAnsi="Arial"/>
          <w:b w:val="false"/>
          <w:bCs w:val="false"/>
          <w:szCs w:val="20"/>
        </w:rPr>
        <w:t> and is a </w:t>
      </w:r>
      <w:r>
        <w:rPr>
          <w:rFonts w:cs="Arial" w:ascii="Arial" w:hAnsi="Arial"/>
          <w:b w:val="false"/>
          <w:bCs w:val="false"/>
        </w:rPr>
        <w:t>real</w:t>
      </w:r>
      <w:r>
        <w:rPr>
          <w:rFonts w:cs="Arial" w:ascii="Arial" w:hAnsi="Arial"/>
          <w:b w:val="false"/>
          <w:bCs w:val="false"/>
          <w:szCs w:val="20"/>
        </w:rPr>
        <w:t>, </w:t>
      </w:r>
      <w:r>
        <w:rPr>
          <w:rFonts w:cs="Arial" w:ascii="Arial" w:hAnsi="Arial"/>
          <w:b w:val="false"/>
          <w:bCs w:val="false"/>
        </w:rPr>
        <w:t>scalable value proposition. Potential customers are willing to sign today!</w:t>
      </w:r>
    </w:p>
    <w:p>
      <w:pPr>
        <w:pStyle w:val="BodyText"/>
        <w:numPr>
          <w:ilvl w:val="1"/>
          <w:numId w:val="2"/>
        </w:numPr>
        <w:jc w:val="both"/>
        <w:rPr>
          <w:rFonts w:ascii="Arial" w:hAnsi="Arial" w:cs="Arial"/>
          <w:b w:val="false"/>
          <w:bCs w:val="false"/>
        </w:rPr>
      </w:pPr>
      <w:r>
        <w:rPr>
          <w:rFonts w:cs="Arial" w:ascii="Arial" w:hAnsi="Arial"/>
          <w:b w:val="false"/>
          <w:bCs w:val="false"/>
        </w:rPr>
        <w:t>The value proposition leverages the core skills of Enron’s market creation expertise by aggregating demand ahead of a fully marketed product.  By inserting ourselves between the carrier and the technology, and underwriting the savings, we reduce risk and quickly unlock the value – this was the foundation of EES; namely underwriting the benefits of efficiencies.  It is Interesting to note that one of the founders of EES, Bruce Stram, described the readiness of our deal as far ahead of EES by the time it had spent over $100 million.</w:t>
      </w:r>
      <w:r>
        <w:rPr>
          <w:rStyle w:val="FootnoteCharacters"/>
          <w:rStyle w:val="FootnoteReference"/>
          <w:rFonts w:cs="Arial" w:ascii="Arial" w:hAnsi="Arial"/>
          <w:b/>
          <w:bCs/>
        </w:rPr>
        <w:footnoteReference w:id="3"/>
      </w:r>
    </w:p>
    <w:p>
      <w:pPr>
        <w:pStyle w:val="BodyText"/>
        <w:numPr>
          <w:ilvl w:val="0"/>
          <w:numId w:val="2"/>
        </w:numPr>
        <w:jc w:val="both"/>
        <w:rPr>
          <w:rFonts w:ascii="Arial" w:hAnsi="Arial" w:cs="Arial"/>
          <w:b w:val="false"/>
          <w:bCs w:val="false"/>
        </w:rPr>
      </w:pPr>
      <w:r>
        <w:rPr>
          <w:rFonts w:cs="Arial" w:ascii="Arial" w:hAnsi="Arial"/>
        </w:rPr>
        <w:t xml:space="preserve">Deal is not financeable and valuation is too rich. </w:t>
      </w:r>
    </w:p>
    <w:p>
      <w:pPr>
        <w:pStyle w:val="BodyText"/>
        <w:numPr>
          <w:ilvl w:val="1"/>
          <w:numId w:val="2"/>
        </w:numPr>
        <w:jc w:val="both"/>
        <w:rPr>
          <w:rFonts w:ascii="Arial" w:hAnsi="Arial" w:cs="Arial"/>
          <w:b w:val="false"/>
          <w:bCs w:val="false"/>
        </w:rPr>
      </w:pPr>
      <w:r>
        <w:rPr>
          <w:rFonts w:cs="Arial" w:ascii="Arial" w:hAnsi="Arial"/>
          <w:b w:val="false"/>
          <w:bCs w:val="false"/>
        </w:rPr>
        <w:t>Financing/acquisition options exist for IdleAire including:</w:t>
      </w:r>
    </w:p>
    <w:p>
      <w:pPr>
        <w:pStyle w:val="BodyText"/>
        <w:numPr>
          <w:ilvl w:val="2"/>
          <w:numId w:val="2"/>
        </w:numPr>
        <w:jc w:val="both"/>
        <w:rPr>
          <w:rFonts w:ascii="Arial" w:hAnsi="Arial" w:cs="Arial"/>
          <w:b w:val="false"/>
          <w:bCs w:val="false"/>
        </w:rPr>
      </w:pPr>
      <w:r>
        <w:rPr>
          <w:rFonts w:cs="Arial" w:ascii="Arial" w:hAnsi="Arial"/>
          <w:b w:val="false"/>
          <w:bCs w:val="false"/>
          <w:sz w:val="20"/>
          <w:szCs w:val="20"/>
          <w:u w:val="single"/>
        </w:rPr>
        <w:t>Outright acquisition</w:t>
      </w:r>
      <w:r>
        <w:rPr>
          <w:rFonts w:cs="Arial" w:ascii="Arial" w:hAnsi="Arial"/>
          <w:b w:val="false"/>
          <w:bCs w:val="false"/>
          <w:sz w:val="20"/>
          <w:szCs w:val="20"/>
        </w:rPr>
        <w:t xml:space="preserve"> – the team believes IdleAire is very reasonable and their current valuation statements are bargain-positioning.</w:t>
      </w:r>
      <w:r>
        <w:rPr>
          <w:rStyle w:val="FootnoteCharacters"/>
          <w:rStyle w:val="FootnoteReference"/>
          <w:rFonts w:cs="Arial" w:ascii="Arial" w:hAnsi="Arial"/>
          <w:b/>
          <w:bCs/>
          <w:sz w:val="20"/>
          <w:szCs w:val="20"/>
        </w:rPr>
        <w:footnoteReference w:id="4"/>
      </w:r>
    </w:p>
    <w:p>
      <w:pPr>
        <w:pStyle w:val="BodyText"/>
        <w:numPr>
          <w:ilvl w:val="2"/>
          <w:numId w:val="2"/>
        </w:numPr>
        <w:jc w:val="both"/>
        <w:rPr>
          <w:rFonts w:ascii="Arial" w:hAnsi="Arial" w:cs="Arial"/>
          <w:b w:val="false"/>
          <w:bCs w:val="false"/>
        </w:rPr>
      </w:pPr>
      <w:r>
        <w:rPr>
          <w:rFonts w:cs="Arial" w:ascii="Arial" w:hAnsi="Arial"/>
          <w:b w:val="false"/>
          <w:bCs w:val="false"/>
          <w:sz w:val="20"/>
          <w:szCs w:val="20"/>
          <w:u w:val="single"/>
        </w:rPr>
        <w:t>Hire IA team</w:t>
      </w:r>
      <w:r>
        <w:rPr>
          <w:rFonts w:cs="Arial" w:ascii="Arial" w:hAnsi="Arial"/>
          <w:b w:val="false"/>
          <w:bCs w:val="false"/>
          <w:sz w:val="20"/>
          <w:szCs w:val="20"/>
        </w:rPr>
        <w:t xml:space="preserve"> and give them equity in the new venture.</w:t>
      </w:r>
    </w:p>
    <w:p>
      <w:pPr>
        <w:pStyle w:val="BodyText"/>
        <w:numPr>
          <w:ilvl w:val="2"/>
          <w:numId w:val="2"/>
        </w:numPr>
        <w:jc w:val="both"/>
        <w:rPr>
          <w:rFonts w:ascii="Arial" w:hAnsi="Arial" w:cs="Arial"/>
          <w:b w:val="false"/>
          <w:bCs w:val="false"/>
        </w:rPr>
      </w:pPr>
      <w:r>
        <w:rPr>
          <w:rFonts w:cs="Arial" w:ascii="Arial" w:hAnsi="Arial"/>
          <w:b w:val="false"/>
          <w:bCs w:val="false"/>
          <w:sz w:val="20"/>
          <w:szCs w:val="20"/>
          <w:u w:val="single"/>
        </w:rPr>
        <w:t>3rd party financing</w:t>
      </w:r>
      <w:r>
        <w:rPr>
          <w:rFonts w:cs="Arial" w:ascii="Arial" w:hAnsi="Arial"/>
          <w:b w:val="false"/>
          <w:bCs w:val="false"/>
        </w:rPr>
        <w:t xml:space="preserve"> – sources have been identified and have indicated strong interest.</w:t>
      </w:r>
    </w:p>
    <w:p>
      <w:pPr>
        <w:pStyle w:val="BodyText"/>
        <w:numPr>
          <w:ilvl w:val="1"/>
          <w:numId w:val="2"/>
        </w:numPr>
        <w:jc w:val="both"/>
        <w:rPr>
          <w:rFonts w:ascii="Arial" w:hAnsi="Arial" w:cs="Arial"/>
          <w:b w:val="false"/>
          <w:bCs w:val="false"/>
        </w:rPr>
      </w:pPr>
      <w:r>
        <w:rPr>
          <w:rFonts w:cs="Arial" w:ascii="Arial" w:hAnsi="Arial"/>
          <w:b w:val="false"/>
          <w:bCs w:val="false"/>
        </w:rPr>
        <w:t>Heath’s valuation estimate seems VC-like and arbitrary (saying, no startup could ever be worth that much!).</w:t>
      </w:r>
    </w:p>
    <w:p>
      <w:pPr>
        <w:pStyle w:val="BodyText"/>
        <w:numPr>
          <w:ilvl w:val="2"/>
          <w:numId w:val="2"/>
        </w:numPr>
        <w:jc w:val="both"/>
        <w:rPr>
          <w:rFonts w:ascii="Arial" w:hAnsi="Arial" w:cs="Arial"/>
          <w:b w:val="false"/>
          <w:bCs w:val="false"/>
        </w:rPr>
      </w:pPr>
      <w:r>
        <w:rPr>
          <w:rFonts w:cs="Arial" w:ascii="Arial" w:hAnsi="Arial"/>
          <w:b w:val="false"/>
          <w:bCs w:val="false"/>
        </w:rPr>
        <w:t>We should move away from the idea that we are a VC investing in a business, but rather a team focusing on building an attractive business.  Affiliation with IdleAire should not be viewed as simply an investment; instead an acquisition of a new technology and complimentary talent.</w:t>
      </w:r>
    </w:p>
    <w:p>
      <w:pPr>
        <w:pStyle w:val="BodyText"/>
        <w:numPr>
          <w:ilvl w:val="2"/>
          <w:numId w:val="2"/>
        </w:numPr>
        <w:jc w:val="both"/>
        <w:rPr>
          <w:rFonts w:ascii="Arial" w:hAnsi="Arial" w:cs="Arial"/>
          <w:b w:val="false"/>
          <w:bCs w:val="false"/>
        </w:rPr>
      </w:pPr>
      <w:r>
        <w:rPr>
          <w:rFonts w:cs="Arial" w:ascii="Arial" w:hAnsi="Arial"/>
          <w:b w:val="false"/>
          <w:bCs w:val="false"/>
        </w:rPr>
        <w:t>We should not be overly concerned with the valuation of IA, but the value realized by leveraging the synergies with Enron (e.g. emissions, VOD, Internet, fuel hedging).</w:t>
      </w:r>
    </w:p>
    <w:p>
      <w:pPr>
        <w:pStyle w:val="BodyText"/>
        <w:numPr>
          <w:ilvl w:val="0"/>
          <w:numId w:val="2"/>
        </w:numPr>
        <w:jc w:val="both"/>
        <w:rPr>
          <w:rFonts w:ascii="Arial" w:hAnsi="Arial" w:cs="Arial"/>
          <w:b w:val="false"/>
          <w:bCs w:val="false"/>
        </w:rPr>
      </w:pPr>
      <w:r>
        <w:rPr>
          <w:rFonts w:cs="Arial" w:ascii="Arial" w:hAnsi="Arial"/>
        </w:rPr>
        <w:t>The value proposition has many weaknesses.</w:t>
      </w:r>
    </w:p>
    <w:p>
      <w:pPr>
        <w:pStyle w:val="BodyText"/>
        <w:numPr>
          <w:ilvl w:val="1"/>
          <w:numId w:val="2"/>
        </w:numPr>
        <w:jc w:val="both"/>
        <w:rPr>
          <w:rFonts w:ascii="Arial" w:hAnsi="Arial" w:cs="Arial"/>
          <w:b w:val="false"/>
          <w:bCs w:val="false"/>
        </w:rPr>
      </w:pPr>
      <w:r>
        <w:rPr>
          <w:rFonts w:cs="Arial" w:ascii="Arial" w:hAnsi="Arial"/>
          <w:b w:val="false"/>
          <w:bCs w:val="false"/>
        </w:rPr>
        <w:t>To “Unit economics are not accurate”.</w:t>
      </w:r>
    </w:p>
    <w:p>
      <w:pPr>
        <w:pStyle w:val="BodyText"/>
        <w:numPr>
          <w:ilvl w:val="2"/>
          <w:numId w:val="2"/>
        </w:numPr>
        <w:jc w:val="both"/>
        <w:rPr>
          <w:rFonts w:ascii="Arial" w:hAnsi="Arial" w:cs="Arial"/>
          <w:b w:val="false"/>
          <w:bCs w:val="false"/>
        </w:rPr>
      </w:pPr>
      <w:r>
        <w:rPr>
          <w:rFonts w:cs="Arial" w:ascii="Arial" w:hAnsi="Arial"/>
          <w:b w:val="false"/>
          <w:bCs w:val="false"/>
        </w:rPr>
        <w:t>Based on published reports and in-depth investigation that was outlined in the white book</w:t>
      </w:r>
      <w:r>
        <w:rPr>
          <w:rStyle w:val="FootnoteCharacters"/>
          <w:rStyle w:val="FootnoteReference"/>
          <w:rFonts w:cs="Arial" w:ascii="Arial" w:hAnsi="Arial"/>
          <w:b/>
          <w:bCs/>
        </w:rPr>
        <w:footnoteReference w:id="5"/>
      </w:r>
      <w:r>
        <w:rPr>
          <w:rFonts w:cs="Arial" w:ascii="Arial" w:hAnsi="Arial"/>
          <w:b w:val="false"/>
          <w:bCs w:val="false"/>
        </w:rPr>
        <w:t>, the team feels very comfortable with the assumptions behind the economics, and is willing to discuss them on a line-item basis.</w:t>
      </w:r>
    </w:p>
    <w:p>
      <w:pPr>
        <w:pStyle w:val="BodyText"/>
        <w:keepNext w:val="true"/>
        <w:numPr>
          <w:ilvl w:val="1"/>
          <w:numId w:val="2"/>
        </w:numPr>
        <w:jc w:val="both"/>
        <w:rPr>
          <w:rFonts w:ascii="Arial" w:hAnsi="Arial" w:cs="Arial"/>
          <w:b w:val="false"/>
          <w:bCs w:val="false"/>
        </w:rPr>
      </w:pPr>
      <w:r>
        <w:rPr>
          <w:rFonts w:cs="Arial" w:ascii="Arial" w:hAnsi="Arial"/>
          <w:b w:val="false"/>
          <w:bCs w:val="false"/>
        </w:rPr>
        <w:t>To “Utilization rate is too high”.</w:t>
      </w:r>
    </w:p>
    <w:p>
      <w:pPr>
        <w:pStyle w:val="BodyText"/>
        <w:numPr>
          <w:ilvl w:val="2"/>
          <w:numId w:val="2"/>
        </w:numPr>
        <w:jc w:val="both"/>
        <w:rPr>
          <w:rFonts w:ascii="Arial" w:hAnsi="Arial" w:cs="Arial"/>
          <w:b w:val="false"/>
          <w:bCs w:val="false"/>
        </w:rPr>
      </w:pPr>
      <w:r>
        <w:rPr>
          <w:rFonts w:cs="Arial" w:ascii="Arial" w:hAnsi="Arial"/>
          <w:b w:val="false"/>
          <w:bCs w:val="false"/>
        </w:rPr>
        <w:t xml:space="preserve">We believe the 67% utilization rate is conservative; </w:t>
      </w:r>
    </w:p>
    <w:p>
      <w:pPr>
        <w:pStyle w:val="BodyText"/>
        <w:numPr>
          <w:ilvl w:val="3"/>
          <w:numId w:val="2"/>
        </w:numPr>
        <w:jc w:val="both"/>
        <w:rPr>
          <w:rFonts w:ascii="Arial" w:hAnsi="Arial" w:cs="Arial"/>
          <w:b w:val="false"/>
          <w:bCs w:val="false"/>
        </w:rPr>
      </w:pPr>
      <w:r>
        <w:rPr>
          <w:rFonts w:cs="Arial" w:ascii="Arial" w:hAnsi="Arial"/>
          <w:b w:val="false"/>
          <w:bCs w:val="false"/>
        </w:rPr>
        <w:t>Truck stops are full throughout the day.</w:t>
      </w:r>
    </w:p>
    <w:p>
      <w:pPr>
        <w:pStyle w:val="BodyText"/>
        <w:numPr>
          <w:ilvl w:val="3"/>
          <w:numId w:val="2"/>
        </w:numPr>
        <w:jc w:val="both"/>
        <w:rPr>
          <w:rFonts w:ascii="Arial" w:hAnsi="Arial" w:cs="Arial"/>
          <w:b w:val="false"/>
          <w:bCs w:val="false"/>
        </w:rPr>
      </w:pPr>
      <w:r>
        <w:rPr>
          <w:rFonts w:cs="Arial" w:ascii="Arial" w:hAnsi="Arial"/>
          <w:b w:val="false"/>
          <w:bCs w:val="false"/>
        </w:rPr>
        <w:t>A severe shortage of parking spaces exists in the market.</w:t>
      </w:r>
    </w:p>
    <w:p>
      <w:pPr>
        <w:pStyle w:val="BodyText"/>
        <w:numPr>
          <w:ilvl w:val="2"/>
          <w:numId w:val="2"/>
        </w:numPr>
        <w:jc w:val="both"/>
        <w:rPr>
          <w:rFonts w:ascii="Arial" w:hAnsi="Arial" w:cs="Arial"/>
          <w:b w:val="false"/>
          <w:bCs w:val="false"/>
        </w:rPr>
      </w:pPr>
      <w:r>
        <w:rPr>
          <w:rFonts w:cs="Arial" w:ascii="Arial" w:hAnsi="Arial"/>
          <w:b w:val="false"/>
          <w:bCs w:val="false"/>
          <w:u w:val="single"/>
        </w:rPr>
        <w:t>Utilization rates are only an issue in a spot market</w:t>
      </w:r>
      <w:r>
        <w:rPr>
          <w:rFonts w:cs="Arial" w:ascii="Arial" w:hAnsi="Arial"/>
          <w:b w:val="false"/>
          <w:bCs w:val="false"/>
        </w:rPr>
        <w:t xml:space="preserve">.  Heath’s perception of the utilization rate is based on his lack of understanding of the demand aggregation model.  If we aggregate demand at the carrier level, the utilization rate measurement is not as critical, since the drivers are required to use the system where available.  </w:t>
      </w:r>
    </w:p>
    <w:p>
      <w:pPr>
        <w:pStyle w:val="BodyText"/>
        <w:keepNext w:val="true"/>
        <w:numPr>
          <w:ilvl w:val="1"/>
          <w:numId w:val="2"/>
        </w:numPr>
        <w:jc w:val="both"/>
        <w:rPr>
          <w:rFonts w:ascii="Arial" w:hAnsi="Arial" w:cs="Arial"/>
          <w:b w:val="false"/>
          <w:bCs w:val="false"/>
        </w:rPr>
      </w:pPr>
      <w:r>
        <w:rPr>
          <w:rFonts w:cs="Arial" w:ascii="Arial" w:hAnsi="Arial"/>
          <w:b w:val="false"/>
          <w:bCs w:val="false"/>
        </w:rPr>
        <w:t>To “Changing driver behavior will be difficult”.</w:t>
      </w:r>
    </w:p>
    <w:p>
      <w:pPr>
        <w:pStyle w:val="BodyText"/>
        <w:numPr>
          <w:ilvl w:val="2"/>
          <w:numId w:val="2"/>
        </w:numPr>
        <w:jc w:val="both"/>
        <w:rPr>
          <w:rFonts w:ascii="Arial" w:hAnsi="Arial" w:cs="Arial"/>
          <w:b w:val="false"/>
          <w:bCs w:val="false"/>
        </w:rPr>
      </w:pPr>
      <w:r>
        <w:rPr>
          <w:rFonts w:cs="Arial" w:ascii="Arial" w:hAnsi="Arial"/>
          <w:b w:val="false"/>
          <w:bCs w:val="false"/>
        </w:rPr>
        <w:t>Based on survey results</w:t>
      </w:r>
      <w:r>
        <w:rPr>
          <w:rStyle w:val="FootnoteCharacters"/>
          <w:rStyle w:val="FootnoteReference"/>
          <w:rFonts w:cs="Arial" w:ascii="Arial" w:hAnsi="Arial"/>
          <w:b/>
          <w:bCs/>
        </w:rPr>
        <w:footnoteReference w:id="6"/>
      </w:r>
      <w:r>
        <w:rPr>
          <w:rFonts w:cs="Arial" w:ascii="Arial" w:hAnsi="Arial"/>
          <w:b w:val="false"/>
          <w:bCs w:val="false"/>
        </w:rPr>
        <w:t>, we feel that drivers are very willing to accept and use our offering as a free service.  In addition, they are willing to pay $5 out of their own pocket for the add-on communication services (telephone, Internet and cable).</w:t>
      </w:r>
    </w:p>
    <w:p>
      <w:pPr>
        <w:pStyle w:val="BodyText"/>
        <w:numPr>
          <w:ilvl w:val="2"/>
          <w:numId w:val="2"/>
        </w:numPr>
        <w:jc w:val="both"/>
        <w:rPr>
          <w:rFonts w:ascii="Arial" w:hAnsi="Arial" w:cs="Arial"/>
          <w:b w:val="false"/>
          <w:bCs w:val="false"/>
        </w:rPr>
      </w:pPr>
      <w:r>
        <w:rPr>
          <w:rFonts w:cs="Arial" w:ascii="Arial" w:hAnsi="Arial"/>
          <w:b w:val="false"/>
          <w:bCs w:val="false"/>
        </w:rPr>
        <w:t>Truck drivers are said to be fast adopters of new technologies that make their jobs easier; consider the rate of adoption of CB radios when first introduced.  Truck drivers’ lifestyle encourages the rapid acceptance of our value proposition – truck sleeper cab is driver’s home (they spend over 67% of their life in it) – and this small change will dramatically improve it.</w:t>
      </w:r>
    </w:p>
    <w:p>
      <w:pPr>
        <w:pStyle w:val="BodyText"/>
        <w:numPr>
          <w:ilvl w:val="1"/>
          <w:numId w:val="2"/>
        </w:numPr>
        <w:jc w:val="both"/>
        <w:rPr>
          <w:rFonts w:ascii="Arial" w:hAnsi="Arial" w:cs="Arial"/>
          <w:b w:val="false"/>
          <w:bCs w:val="false"/>
        </w:rPr>
      </w:pPr>
      <w:r>
        <w:rPr>
          <w:rFonts w:cs="Arial" w:ascii="Arial" w:hAnsi="Arial"/>
          <w:b w:val="false"/>
          <w:bCs w:val="false"/>
        </w:rPr>
        <w:t>To “Competition concerns”.</w:t>
      </w:r>
    </w:p>
    <w:p>
      <w:pPr>
        <w:pStyle w:val="BodyText"/>
        <w:numPr>
          <w:ilvl w:val="2"/>
          <w:numId w:val="2"/>
        </w:numPr>
        <w:jc w:val="both"/>
        <w:rPr>
          <w:rFonts w:ascii="Arial" w:hAnsi="Arial" w:cs="Arial"/>
          <w:b w:val="false"/>
          <w:bCs w:val="false"/>
        </w:rPr>
      </w:pPr>
      <w:r>
        <w:rPr>
          <w:rFonts w:cs="Arial" w:ascii="Arial" w:hAnsi="Arial"/>
          <w:b w:val="false"/>
          <w:bCs w:val="false"/>
          <w:sz w:val="20"/>
          <w:szCs w:val="20"/>
        </w:rPr>
        <w:t>IdleAire has an exclusive lockup on the [truck stop] real estate.</w:t>
      </w:r>
    </w:p>
    <w:p>
      <w:pPr>
        <w:pStyle w:val="BodyText"/>
        <w:numPr>
          <w:ilvl w:val="2"/>
          <w:numId w:val="2"/>
        </w:numPr>
        <w:jc w:val="both"/>
        <w:rPr>
          <w:rFonts w:ascii="Arial" w:hAnsi="Arial" w:cs="Arial"/>
          <w:b w:val="false"/>
          <w:bCs w:val="false"/>
        </w:rPr>
      </w:pPr>
      <w:r>
        <w:rPr>
          <w:rFonts w:cs="Arial" w:ascii="Arial" w:hAnsi="Arial"/>
          <w:b w:val="false"/>
          <w:bCs w:val="false"/>
          <w:sz w:val="20"/>
          <w:szCs w:val="20"/>
        </w:rPr>
        <w:t>IdleAire has a head start of at least 9 months.</w:t>
      </w:r>
    </w:p>
    <w:p>
      <w:pPr>
        <w:pStyle w:val="BodyText"/>
        <w:numPr>
          <w:ilvl w:val="2"/>
          <w:numId w:val="2"/>
        </w:numPr>
        <w:jc w:val="both"/>
        <w:rPr>
          <w:rFonts w:ascii="Arial" w:hAnsi="Arial" w:cs="Arial"/>
          <w:b w:val="false"/>
          <w:bCs w:val="false"/>
        </w:rPr>
      </w:pPr>
      <w:r>
        <w:rPr>
          <w:rFonts w:cs="Arial" w:ascii="Arial" w:hAnsi="Arial"/>
          <w:b w:val="false"/>
          <w:bCs w:val="false"/>
          <w:sz w:val="20"/>
          <w:szCs w:val="20"/>
        </w:rPr>
        <w:t>Team targeting only 12% of market by year 5.</w:t>
      </w:r>
    </w:p>
    <w:p>
      <w:pPr>
        <w:pStyle w:val="BodyText"/>
        <w:keepNext w:val="true"/>
        <w:numPr>
          <w:ilvl w:val="0"/>
          <w:numId w:val="2"/>
        </w:numPr>
        <w:jc w:val="both"/>
        <w:rPr>
          <w:rFonts w:ascii="Arial" w:hAnsi="Arial" w:cs="Arial"/>
          <w:b w:val="false"/>
          <w:bCs w:val="false"/>
        </w:rPr>
      </w:pPr>
      <w:r>
        <w:rPr>
          <w:rFonts w:cs="Arial" w:ascii="Arial" w:hAnsi="Arial"/>
        </w:rPr>
        <w:t>Team is not capable.</w:t>
      </w:r>
    </w:p>
    <w:p>
      <w:pPr>
        <w:pStyle w:val="BodyText"/>
        <w:numPr>
          <w:ilvl w:val="1"/>
          <w:numId w:val="2"/>
        </w:numPr>
        <w:jc w:val="both"/>
        <w:rPr>
          <w:rFonts w:ascii="Arial" w:hAnsi="Arial" w:cs="Arial"/>
          <w:b w:val="false"/>
          <w:bCs w:val="false"/>
        </w:rPr>
      </w:pPr>
      <w:r>
        <w:rPr>
          <w:rFonts w:cs="Arial" w:ascii="Arial" w:hAnsi="Arial"/>
          <w:b w:val="false"/>
          <w:bCs w:val="false"/>
        </w:rPr>
        <w:t>Team has done an excellent job of researching the idea and preparing the value proposition (as it relates to Enron’s competencies).</w:t>
      </w:r>
    </w:p>
    <w:p>
      <w:pPr>
        <w:pStyle w:val="BodyText"/>
        <w:numPr>
          <w:ilvl w:val="1"/>
          <w:numId w:val="2"/>
        </w:numPr>
        <w:jc w:val="both"/>
        <w:rPr>
          <w:rFonts w:ascii="Arial" w:hAnsi="Arial" w:cs="Arial"/>
          <w:b w:val="false"/>
          <w:bCs w:val="false"/>
        </w:rPr>
      </w:pPr>
      <w:r>
        <w:rPr>
          <w:rFonts w:cs="Arial" w:ascii="Arial" w:hAnsi="Arial"/>
          <w:b w:val="false"/>
          <w:bCs w:val="false"/>
        </w:rPr>
        <w:t>I can provide the necessary guidance and leadership for the deal within Enron.</w:t>
      </w:r>
    </w:p>
    <w:p>
      <w:pPr>
        <w:pStyle w:val="BodyText"/>
        <w:numPr>
          <w:ilvl w:val="1"/>
          <w:numId w:val="2"/>
        </w:numPr>
        <w:jc w:val="both"/>
        <w:rPr>
          <w:rFonts w:ascii="Arial" w:hAnsi="Arial" w:cs="Arial"/>
          <w:b w:val="false"/>
          <w:bCs w:val="false"/>
        </w:rPr>
      </w:pPr>
      <w:r>
        <w:rPr>
          <w:rFonts w:cs="Arial" w:ascii="Arial" w:hAnsi="Arial"/>
          <w:b w:val="false"/>
          <w:bCs w:val="false"/>
        </w:rPr>
        <w:t>This is the team that originally built the Xcelerator.</w:t>
      </w:r>
    </w:p>
    <w:p>
      <w:pPr>
        <w:pStyle w:val="BodyText"/>
        <w:numPr>
          <w:ilvl w:val="0"/>
          <w:numId w:val="2"/>
        </w:numPr>
        <w:jc w:val="both"/>
        <w:rPr>
          <w:rFonts w:ascii="Arial" w:hAnsi="Arial" w:cs="Arial"/>
          <w:b w:val="false"/>
          <w:bCs w:val="false"/>
        </w:rPr>
      </w:pPr>
      <w:r>
        <w:rPr>
          <w:rFonts w:cs="Arial" w:ascii="Arial" w:hAnsi="Arial"/>
        </w:rPr>
        <w:t>If you take the deal out now you will kill the Xcelerator</w:t>
      </w:r>
    </w:p>
    <w:p>
      <w:pPr>
        <w:pStyle w:val="BodyText"/>
        <w:numPr>
          <w:ilvl w:val="1"/>
          <w:numId w:val="2"/>
        </w:numPr>
        <w:jc w:val="both"/>
        <w:rPr>
          <w:rFonts w:ascii="Arial" w:hAnsi="Arial" w:cs="Arial"/>
          <w:b w:val="false"/>
          <w:bCs w:val="false"/>
        </w:rPr>
      </w:pPr>
      <w:r>
        <w:rPr>
          <w:rFonts w:cs="Arial" w:ascii="Arial" w:hAnsi="Arial"/>
          <w:b w:val="false"/>
          <w:bCs w:val="false"/>
        </w:rPr>
        <w:t>Actually if deal exits now it will look like an early win for you – a successful deal that graduated from the Xcelerator.</w:t>
      </w:r>
    </w:p>
    <w:p>
      <w:pPr>
        <w:pStyle w:val="BodyText"/>
        <w:numPr>
          <w:ilvl w:val="1"/>
          <w:numId w:val="2"/>
        </w:numPr>
        <w:jc w:val="both"/>
        <w:rPr>
          <w:rFonts w:ascii="Arial" w:hAnsi="Arial" w:cs="Arial"/>
          <w:b w:val="false"/>
          <w:bCs w:val="false"/>
        </w:rPr>
      </w:pPr>
      <w:r>
        <w:rPr>
          <w:rFonts w:cs="Arial" w:ascii="Arial" w:hAnsi="Arial"/>
          <w:b w:val="false"/>
          <w:bCs w:val="false"/>
        </w:rPr>
        <w:t>If you call the deal now you will have to pay a graduation bonus, valued at one year’s salary and one year equivalent in LTIP.</w:t>
      </w:r>
      <w:r>
        <w:rPr>
          <w:rStyle w:val="FootnoteCharacters"/>
          <w:rStyle w:val="FootnoteReference"/>
          <w:rFonts w:cs="Arial" w:ascii="Arial" w:hAnsi="Arial"/>
          <w:b/>
          <w:bCs/>
        </w:rPr>
        <w:footnoteReference w:id="7"/>
      </w:r>
    </w:p>
    <w:p>
      <w:pPr>
        <w:pStyle w:val="BodyText"/>
        <w:numPr>
          <w:ilvl w:val="2"/>
          <w:numId w:val="2"/>
        </w:numPr>
        <w:jc w:val="both"/>
        <w:rPr>
          <w:rFonts w:ascii="Arial" w:hAnsi="Arial" w:cs="Arial"/>
          <w:b w:val="false"/>
          <w:bCs w:val="false"/>
        </w:rPr>
      </w:pPr>
      <w:r>
        <w:rPr>
          <w:rFonts w:cs="Arial" w:ascii="Arial" w:hAnsi="Arial"/>
          <w:b w:val="false"/>
          <w:bCs w:val="false"/>
        </w:rPr>
        <w:t>The investment board has not approved this provision yet.</w:t>
      </w:r>
    </w:p>
    <w:p>
      <w:pPr>
        <w:pStyle w:val="BodyText"/>
        <w:numPr>
          <w:ilvl w:val="2"/>
          <w:numId w:val="2"/>
        </w:numPr>
        <w:jc w:val="both"/>
        <w:rPr>
          <w:rFonts w:ascii="Arial" w:hAnsi="Arial" w:cs="Arial"/>
          <w:b w:val="false"/>
          <w:bCs w:val="false"/>
        </w:rPr>
      </w:pPr>
      <w:r>
        <w:rPr>
          <w:rFonts w:cs="Arial" w:ascii="Arial" w:hAnsi="Arial"/>
          <w:b w:val="false"/>
          <w:bCs w:val="false"/>
        </w:rPr>
        <w:t>The team is open to discussion on this issue.</w:t>
      </w:r>
      <w:r>
        <w:rPr>
          <w:rStyle w:val="FootnoteCharacters"/>
          <w:rStyle w:val="FootnoteReference"/>
          <w:rFonts w:cs="Arial" w:ascii="Arial" w:hAnsi="Arial"/>
          <w:b/>
          <w:bCs/>
        </w:rPr>
        <w:footnoteReference w:id="8"/>
      </w:r>
    </w:p>
    <w:p>
      <w:pPr>
        <w:pStyle w:val="BodyText"/>
        <w:numPr>
          <w:ilvl w:val="1"/>
          <w:numId w:val="2"/>
        </w:numPr>
        <w:jc w:val="both"/>
        <w:rPr>
          <w:rFonts w:ascii="Arial" w:hAnsi="Arial" w:cs="Arial"/>
          <w:b w:val="false"/>
          <w:bCs w:val="false"/>
        </w:rPr>
      </w:pPr>
      <w:r>
        <w:rPr>
          <w:rFonts w:cs="Arial" w:ascii="Arial" w:hAnsi="Arial"/>
          <w:b w:val="false"/>
          <w:bCs w:val="false"/>
        </w:rPr>
        <w:t>Just let me keep it in the Xcelerator through proof of concept and then you can use your free call option.</w:t>
      </w:r>
    </w:p>
    <w:p>
      <w:pPr>
        <w:pStyle w:val="BodyText"/>
        <w:numPr>
          <w:ilvl w:val="2"/>
          <w:numId w:val="2"/>
        </w:numPr>
        <w:jc w:val="both"/>
        <w:rPr>
          <w:rFonts w:ascii="Arial" w:hAnsi="Arial" w:cs="Arial"/>
          <w:b w:val="false"/>
          <w:bCs w:val="false"/>
        </w:rPr>
      </w:pPr>
      <w:r>
        <w:rPr>
          <w:rFonts w:cs="Arial" w:ascii="Arial" w:hAnsi="Arial"/>
          <w:b w:val="false"/>
          <w:bCs w:val="false"/>
        </w:rPr>
        <w:t>Team is committed to the idea, and if they do not see a valid case for pursuing the opportunity they will walk away – currently the team disagrees with your plan of action for the deal.</w:t>
      </w:r>
    </w:p>
    <w:p>
      <w:pPr>
        <w:pStyle w:val="BodyText"/>
        <w:numPr>
          <w:ilvl w:val="2"/>
          <w:numId w:val="2"/>
        </w:numPr>
        <w:jc w:val="both"/>
        <w:rPr>
          <w:rFonts w:ascii="Arial" w:hAnsi="Arial" w:cs="Arial"/>
          <w:b w:val="false"/>
          <w:bCs w:val="false"/>
        </w:rPr>
      </w:pPr>
      <w:r>
        <w:rPr>
          <w:rFonts w:cs="Arial" w:ascii="Arial" w:hAnsi="Arial"/>
          <w:b w:val="false"/>
          <w:bCs w:val="false"/>
        </w:rPr>
        <w:t>Any delays in action risks losing IdleAire; you do not have a budget to fund an acquisition and a proof of concept.</w:t>
      </w:r>
    </w:p>
    <w:p>
      <w:pPr>
        <w:pStyle w:val="BodyText"/>
        <w:numPr>
          <w:ilvl w:val="2"/>
          <w:numId w:val="2"/>
        </w:numPr>
        <w:jc w:val="both"/>
        <w:rPr>
          <w:rFonts w:ascii="Arial" w:hAnsi="Arial" w:cs="Arial"/>
          <w:b w:val="false"/>
          <w:bCs w:val="false"/>
        </w:rPr>
      </w:pPr>
      <w:r>
        <w:rPr>
          <w:rFonts w:cs="Arial" w:ascii="Arial" w:hAnsi="Arial"/>
          <w:b w:val="false"/>
          <w:bCs w:val="false"/>
        </w:rPr>
        <w:t>Team is disillusioned with the current state of the Xcelerator.</w:t>
      </w:r>
    </w:p>
    <w:p>
      <w:pPr>
        <w:pStyle w:val="BodyText"/>
        <w:numPr>
          <w:ilvl w:val="3"/>
          <w:numId w:val="2"/>
        </w:numPr>
        <w:jc w:val="both"/>
        <w:rPr>
          <w:rFonts w:ascii="Arial" w:hAnsi="Arial" w:cs="Arial"/>
          <w:b w:val="false"/>
          <w:bCs w:val="false"/>
        </w:rPr>
      </w:pPr>
      <w:r>
        <w:rPr>
          <w:rFonts w:cs="Arial" w:ascii="Arial" w:hAnsi="Arial"/>
          <w:b w:val="false"/>
          <w:bCs w:val="false"/>
        </w:rPr>
        <w:t>Risk-reward offer on the table is skewed and unacceptable.</w:t>
      </w:r>
    </w:p>
    <w:p>
      <w:pPr>
        <w:pStyle w:val="BodyText"/>
        <w:numPr>
          <w:ilvl w:val="3"/>
          <w:numId w:val="2"/>
        </w:numPr>
        <w:jc w:val="both"/>
        <w:rPr>
          <w:rFonts w:ascii="Arial" w:hAnsi="Arial" w:cs="Arial"/>
          <w:b w:val="false"/>
          <w:bCs w:val="false"/>
        </w:rPr>
      </w:pPr>
      <w:r>
        <w:rPr>
          <w:rFonts w:cs="Arial" w:ascii="Arial" w:hAnsi="Arial"/>
          <w:b w:val="false"/>
          <w:bCs w:val="false"/>
        </w:rPr>
        <w:t>Unproven leadership.</w:t>
      </w:r>
    </w:p>
    <w:p>
      <w:pPr>
        <w:pStyle w:val="BodyText"/>
        <w:numPr>
          <w:ilvl w:val="3"/>
          <w:numId w:val="2"/>
        </w:numPr>
        <w:jc w:val="both"/>
        <w:rPr>
          <w:rFonts w:ascii="Arial" w:hAnsi="Arial" w:cs="Arial"/>
          <w:b w:val="false"/>
          <w:bCs w:val="false"/>
        </w:rPr>
      </w:pPr>
      <w:r>
        <w:rPr>
          <w:rFonts w:cs="Arial" w:ascii="Arial" w:hAnsi="Arial"/>
          <w:b w:val="false"/>
          <w:bCs w:val="false"/>
        </w:rPr>
        <w:t>Intolerable micromanagement style.</w:t>
      </w:r>
    </w:p>
    <w:p>
      <w:pPr>
        <w:pStyle w:val="BodyText"/>
        <w:spacing w:before="120" w:after="120"/>
        <w:ind w:start="720" w:end="0"/>
        <w:rPr>
          <w:rFonts w:ascii="Arial" w:hAnsi="Arial" w:cs="Arial"/>
          <w:b w:val="false"/>
          <w:bCs w:val="false"/>
        </w:rPr>
      </w:pPr>
      <w:r>
        <w:rPr>
          <w:rFonts w:cs="Arial" w:ascii="Arial" w:hAnsi="Arial"/>
          <w:b w:val="false"/>
          <w:bCs w:val="false"/>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MS Reference Serif">
    <w:altName w:val="Palatino Linotyp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Heath says that business units have a free call option to call on deals whenever they wish – he also said that if we could find another group to fund it he would not stop it from leaving ENE X.</w:t>
      </w:r>
    </w:p>
  </w:footnote>
  <w:footnote w:id="3">
    <w:p>
      <w:pPr>
        <w:pStyle w:val="FootnoteText"/>
        <w:rPr/>
      </w:pPr>
      <w:r>
        <w:rPr>
          <w:rStyle w:val="FootnoteCharacters"/>
        </w:rPr>
        <w:footnoteRef/>
      </w:r>
      <w:r>
        <w:rPr/>
        <w:t xml:space="preserve"> </w:t>
      </w:r>
      <w:r>
        <w:rPr>
          <w:rFonts w:cs="Arial" w:ascii="Arial" w:hAnsi="Arial"/>
        </w:rPr>
        <w:t>Bruce Stram current contact info (713) 484 7508 or (713) 666 3994.</w:t>
      </w:r>
    </w:p>
  </w:footnote>
  <w:footnote w:id="4">
    <w:p>
      <w:pPr>
        <w:pStyle w:val="FootnoteText"/>
        <w:rPr/>
      </w:pPr>
      <w:r>
        <w:rPr>
          <w:rStyle w:val="FootnoteCharacters"/>
        </w:rPr>
        <w:footnoteRef/>
      </w:r>
      <w:r>
        <w:rPr>
          <w:rFonts w:cs="Arial" w:ascii="Arial" w:hAnsi="Arial"/>
        </w:rPr>
        <w:t>IdleAire claims to have CIBC Oppenheimer willing to fund $30 mm for 20% of the company – this has not yet been verified and likely will depend on some participation by Enron.</w:t>
      </w:r>
    </w:p>
  </w:footnote>
  <w:footnote w:id="5">
    <w:p>
      <w:pPr>
        <w:pStyle w:val="FootnoteText"/>
        <w:rPr/>
      </w:pPr>
      <w:r>
        <w:rPr>
          <w:rStyle w:val="FootnoteCharacters"/>
        </w:rPr>
        <w:footnoteRef/>
      </w:r>
      <w:r>
        <w:rPr/>
        <w:t xml:space="preserve"> </w:t>
      </w:r>
      <w:r>
        <w:rPr>
          <w:rFonts w:cs="Arial" w:ascii="Arial" w:hAnsi="Arial"/>
        </w:rPr>
        <w:t>Heath says he had never read the white book, which was delivered with the initial presentation, as late as one month after having approved the deal.</w:t>
      </w:r>
    </w:p>
  </w:footnote>
  <w:footnote w:id="6">
    <w:p>
      <w:pPr>
        <w:pStyle w:val="FootnoteText"/>
        <w:rPr/>
      </w:pPr>
      <w:r>
        <w:rPr>
          <w:rStyle w:val="FootnoteCharacters"/>
        </w:rPr>
        <w:footnoteRef/>
      </w:r>
      <w:r>
        <w:rPr/>
        <w:t xml:space="preserve"> </w:t>
      </w:r>
      <w:r>
        <w:rPr>
          <w:rFonts w:cs="Arial" w:ascii="Arial" w:hAnsi="Arial"/>
        </w:rPr>
        <w:t>We conducted a survey of over 180 truck drivers at several truck stops in Texas and California.  The results of the surveys were also an attachment to the email.</w:t>
      </w:r>
    </w:p>
  </w:footnote>
  <w:footnote w:id="7">
    <w:p>
      <w:pPr>
        <w:pStyle w:val="FootnoteText"/>
        <w:rPr/>
      </w:pPr>
      <w:r>
        <w:rPr>
          <w:rStyle w:val="FootnoteCharacters"/>
        </w:rPr>
        <w:footnoteRef/>
      </w:r>
      <w:r>
        <w:rPr/>
        <w:t xml:space="preserve"> </w:t>
      </w:r>
      <w:r>
        <w:rPr>
          <w:rFonts w:cs="Arial" w:ascii="Arial" w:hAnsi="Arial"/>
        </w:rPr>
        <w:t>Attached to the email is Heath’s vision and plans for the Xcelerator.</w:t>
      </w:r>
    </w:p>
  </w:footnote>
  <w:footnote w:id="8">
    <w:p>
      <w:pPr>
        <w:pStyle w:val="FootnoteText"/>
        <w:rPr/>
      </w:pPr>
      <w:r>
        <w:rPr>
          <w:rStyle w:val="FootnoteCharacters"/>
        </w:rPr>
        <w:footnoteRef/>
      </w:r>
      <w:r>
        <w:rPr/>
        <w:t xml:space="preserve"> </w:t>
      </w:r>
      <w:r>
        <w:rPr>
          <w:rFonts w:cs="Arial" w:ascii="Arial" w:hAnsi="Arial"/>
        </w:rPr>
        <w:t>Although we would really appreciate the bonus!!!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Claim %1"/>
      <w:lvlJc w:val="start"/>
      <w:pPr>
        <w:tabs>
          <w:tab w:val="num" w:pos="1080"/>
        </w:tabs>
        <w:ind w:start="360" w:hanging="360"/>
      </w:pPr>
      <w:rPr>
        <w:i/>
        <w:b/>
      </w:rPr>
    </w:lvl>
    <w:lvl w:ilvl="1">
      <w:start w:val="1"/>
      <w:numFmt w:val="upperLetter"/>
      <w:lvlText w:val="Response %2"/>
      <w:lvlJc w:val="start"/>
      <w:pPr>
        <w:tabs>
          <w:tab w:val="num" w:pos="1800"/>
        </w:tabs>
        <w:ind w:start="720" w:hanging="360"/>
      </w:pPr>
      <w:rPr>
        <w:i w:val="false"/>
        <w:b/>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4"/>
      <w:lang w:val="en-US" w:bidi="ar-SA" w:eastAsia="zh-CN"/>
    </w:rPr>
  </w:style>
  <w:style w:type="paragraph" w:styleId="Heading1">
    <w:name w:val="heading 1"/>
    <w:basedOn w:val="Normal"/>
    <w:next w:val="Normal"/>
    <w:qFormat/>
    <w:pPr>
      <w:numPr>
        <w:ilvl w:val="0"/>
        <w:numId w:val="1"/>
      </w:numPr>
      <w:spacing w:before="120" w:after="120"/>
      <w:outlineLvl w:val="0"/>
    </w:pPr>
    <w:rPr>
      <w:rFonts w:ascii="MS Reference Serif;Palatino Linotype" w:hAnsi="MS Reference Serif;Palatino Linotype" w:eastAsia="Arial Unicode MS" w:cs="Arial Unicode MS"/>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i/>
    </w:rPr>
  </w:style>
  <w:style w:type="character" w:styleId="WW8Num8z1">
    <w:name w:val="WW8Num8z1"/>
    <w:qFormat/>
    <w:rPr>
      <w:b/>
      <w:i w:val="false"/>
    </w:rPr>
  </w:style>
  <w:style w:type="character" w:styleId="WW8Num8z2">
    <w:name w:val="WW8Num8z2"/>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St8z0">
    <w:name w:val="WW8NumSt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120" w:after="120"/>
      <w:jc w:val="center"/>
    </w:pPr>
    <w:rPr>
      <w:rFonts w:ascii="Arial" w:hAnsi="Arial" w:cs="Arial"/>
      <w:b/>
      <w:bCs/>
      <w:sz w:val="28"/>
      <w:szCs w:val="22"/>
      <w:u w:val="single"/>
    </w:rPr>
  </w:style>
  <w:style w:type="paragraph" w:styleId="BodyText">
    <w:name w:val="Body Text"/>
    <w:basedOn w:val="Normal"/>
    <w:pPr>
      <w:spacing w:before="120" w:after="120"/>
    </w:pPr>
    <w:rPr>
      <w:rFonts w:ascii="MS Reference Serif;Palatino Linotype" w:hAnsi="MS Reference Serif;Palatino Linotype" w:cs="MS Reference Serif;Palatino Linotype"/>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120"/>
      <w:ind w:hanging="0" w:start="1080" w:end="0"/>
    </w:pPr>
    <w:rPr>
      <w:rFonts w:ascii="MS Reference Serif;Palatino Linotype" w:hAnsi="MS Reference Serif;Palatino Linotype" w:cs="MS Reference Serif;Palatino Linotype"/>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2001-10-08T13:54:00Z</dcterms:created>
  <dc:creator>hmurillo</dc:creator>
  <dc:description/>
  <dc:language>en-CA</dc:language>
  <cp:lastModifiedBy>Alhamd Alkhayat</cp:lastModifiedBy>
  <cp:lastPrinted>2001-10-08T10:43:00Z</cp:lastPrinted>
  <dcterms:modified xsi:type="dcterms:W3CDTF">2001-10-08T13:54:00Z</dcterms:modified>
  <cp:revision>2</cp:revision>
  <dc:subject/>
  <dc:title>XTRANSCO</dc:title>
</cp:coreProperties>
</file>