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rPr>
      </w:pPr>
      <w:r>
        <w:rPr>
          <w:b/>
          <w:bCs/>
        </w:rPr>
        <w:t xml:space="preserve">Issue and Document Checklist </w:t>
        <w:br/>
        <w:t>Lease/Finance Transaction with US TeleNet (“UST”)</w:t>
        <w:br/>
      </w:r>
    </w:p>
    <w:p>
      <w:pPr>
        <w:pStyle w:val="BodyText"/>
        <w:numPr>
          <w:ilvl w:val="0"/>
          <w:numId w:val="3"/>
        </w:numPr>
        <w:rPr/>
      </w:pPr>
      <w:r>
        <w:rPr>
          <w:b/>
          <w:bCs/>
        </w:rPr>
        <w:t>Transaction with CES and/or The Phone Company (“TPC”)</w:t>
      </w:r>
    </w:p>
    <w:p>
      <w:pPr>
        <w:pStyle w:val="BodyText"/>
        <w:numPr>
          <w:ilvl w:val="1"/>
          <w:numId w:val="3"/>
        </w:numPr>
        <w:rPr/>
      </w:pPr>
      <w:r>
        <w:rPr/>
        <w:t>Bill of Sale from CES or TPC to EBS</w:t>
      </w:r>
    </w:p>
    <w:p>
      <w:pPr>
        <w:pStyle w:val="BodyText"/>
        <w:numPr>
          <w:ilvl w:val="2"/>
          <w:numId w:val="3"/>
        </w:numPr>
        <w:rPr/>
      </w:pPr>
      <w:r>
        <w:rPr/>
        <w:t>Need to determine whether CES or TPC has title to the switch</w:t>
      </w:r>
    </w:p>
    <w:p>
      <w:pPr>
        <w:pStyle w:val="BodyText"/>
        <w:numPr>
          <w:ilvl w:val="2"/>
          <w:numId w:val="3"/>
        </w:numPr>
        <w:rPr/>
      </w:pPr>
      <w:r>
        <w:rPr/>
        <w:t>Confirm that cash payable at closing to CES/TPC is $685,000</w:t>
      </w:r>
    </w:p>
    <w:p>
      <w:pPr>
        <w:pStyle w:val="BodyText"/>
        <w:numPr>
          <w:ilvl w:val="2"/>
          <w:numId w:val="3"/>
        </w:numPr>
        <w:rPr/>
      </w:pPr>
      <w:r>
        <w:rPr/>
        <w:t>Verify amount of broker fee, if any, payable to CES</w:t>
      </w:r>
    </w:p>
    <w:p>
      <w:pPr>
        <w:pStyle w:val="BodyText"/>
        <w:numPr>
          <w:ilvl w:val="1"/>
          <w:numId w:val="3"/>
        </w:numPr>
        <w:rPr/>
      </w:pPr>
      <w:r>
        <w:rPr/>
        <w:t>Due Diligence</w:t>
      </w:r>
    </w:p>
    <w:p>
      <w:pPr>
        <w:pStyle w:val="BodyText"/>
        <w:numPr>
          <w:ilvl w:val="2"/>
          <w:numId w:val="3"/>
        </w:numPr>
        <w:rPr/>
      </w:pPr>
      <w:r>
        <w:rPr/>
        <w:t>UCC lien searches on CES (if CES has title to the switch)</w:t>
      </w:r>
    </w:p>
    <w:p>
      <w:pPr>
        <w:pStyle w:val="BodyText"/>
        <w:numPr>
          <w:ilvl w:val="2"/>
          <w:numId w:val="3"/>
        </w:numPr>
        <w:rPr/>
      </w:pPr>
      <w:r>
        <w:rPr/>
        <w:t>Bankruptcy court order authorizing sale of switch from TPC to CES (or EBS)</w:t>
      </w:r>
    </w:p>
    <w:p>
      <w:pPr>
        <w:pStyle w:val="BodyText"/>
        <w:numPr>
          <w:ilvl w:val="0"/>
          <w:numId w:val="3"/>
        </w:numPr>
        <w:rPr/>
      </w:pPr>
      <w:r>
        <w:rPr>
          <w:b/>
          <w:bCs/>
        </w:rPr>
        <w:t>Lease Agreement between UST and EBS</w:t>
      </w:r>
    </w:p>
    <w:p>
      <w:pPr>
        <w:pStyle w:val="BodyText"/>
        <w:numPr>
          <w:ilvl w:val="1"/>
          <w:numId w:val="3"/>
        </w:numPr>
        <w:rPr>
          <w:b/>
          <w:bCs/>
        </w:rPr>
      </w:pPr>
      <w:r>
        <w:rPr/>
        <w:t>Monthly payments - $16,178.28</w:t>
      </w:r>
    </w:p>
    <w:p>
      <w:pPr>
        <w:pStyle w:val="BodyText"/>
        <w:numPr>
          <w:ilvl w:val="1"/>
          <w:numId w:val="3"/>
        </w:numPr>
        <w:rPr>
          <w:b/>
          <w:bCs/>
        </w:rPr>
      </w:pPr>
      <w:r>
        <w:rPr/>
        <w:t>Purchase option</w:t>
      </w:r>
    </w:p>
    <w:p>
      <w:pPr>
        <w:pStyle w:val="BodyText"/>
        <w:numPr>
          <w:ilvl w:val="2"/>
          <w:numId w:val="3"/>
        </w:numPr>
        <w:rPr>
          <w:b/>
          <w:bCs/>
        </w:rPr>
      </w:pPr>
      <w:r>
        <w:rPr/>
        <w:t>At end of lease – for $100</w:t>
      </w:r>
    </w:p>
    <w:p>
      <w:pPr>
        <w:pStyle w:val="BodyText"/>
        <w:numPr>
          <w:ilvl w:val="2"/>
          <w:numId w:val="3"/>
        </w:numPr>
        <w:rPr>
          <w:b/>
          <w:bCs/>
        </w:rPr>
      </w:pPr>
      <w:r>
        <w:rPr/>
        <w:t>At any time upon payment of remaining rentals (?)</w:t>
      </w:r>
    </w:p>
    <w:p>
      <w:pPr>
        <w:pStyle w:val="BodyText"/>
        <w:numPr>
          <w:ilvl w:val="2"/>
          <w:numId w:val="3"/>
        </w:numPr>
        <w:rPr>
          <w:b/>
          <w:bCs/>
        </w:rPr>
      </w:pPr>
      <w:r>
        <w:rPr/>
        <w:t>If UST exercises purchase option, effect on other rights held by EBS:</w:t>
      </w:r>
    </w:p>
    <w:p>
      <w:pPr>
        <w:pStyle w:val="BodyText"/>
        <w:numPr>
          <w:ilvl w:val="3"/>
          <w:numId w:val="3"/>
        </w:numPr>
        <w:rPr>
          <w:b/>
          <w:bCs/>
        </w:rPr>
      </w:pPr>
      <w:r>
        <w:rPr/>
        <w:t>EBS retains its rights under the TMS software license</w:t>
      </w:r>
    </w:p>
    <w:p>
      <w:pPr>
        <w:pStyle w:val="BodyText"/>
        <w:numPr>
          <w:ilvl w:val="3"/>
          <w:numId w:val="3"/>
        </w:numPr>
        <w:rPr>
          <w:b/>
          <w:bCs/>
        </w:rPr>
      </w:pPr>
      <w:r>
        <w:rPr/>
        <w:t>The port fees payable by EBS under the License and Services Agreement remain unchanged</w:t>
      </w:r>
    </w:p>
    <w:p>
      <w:pPr>
        <w:pStyle w:val="BodyText"/>
        <w:numPr>
          <w:ilvl w:val="1"/>
          <w:numId w:val="3"/>
        </w:numPr>
        <w:rPr>
          <w:b/>
          <w:bCs/>
        </w:rPr>
      </w:pPr>
      <w:r>
        <w:rPr/>
        <w:t>UST to maintain the switch (and the Nortel software?)</w:t>
      </w:r>
    </w:p>
    <w:p>
      <w:pPr>
        <w:pStyle w:val="BodyText"/>
        <w:numPr>
          <w:ilvl w:val="1"/>
          <w:numId w:val="3"/>
        </w:numPr>
        <w:rPr>
          <w:b/>
          <w:bCs/>
        </w:rPr>
      </w:pPr>
      <w:r>
        <w:rPr/>
        <w:t xml:space="preserve">EBS may at is option finance purchases by UST of additional frames to be added to the switch - if EBS does </w:t>
      </w:r>
      <w:r>
        <w:rPr>
          <w:u w:val="single"/>
        </w:rPr>
        <w:t>not</w:t>
      </w:r>
      <w:r>
        <w:rPr/>
        <w:t xml:space="preserve"> elect to finance these purchases, EBS must make sure that:</w:t>
      </w:r>
    </w:p>
    <w:p>
      <w:pPr>
        <w:pStyle w:val="BodyText"/>
        <w:numPr>
          <w:ilvl w:val="2"/>
          <w:numId w:val="3"/>
        </w:numPr>
        <w:rPr>
          <w:b/>
          <w:bCs/>
        </w:rPr>
      </w:pPr>
      <w:r>
        <w:rPr/>
        <w:t>Other lender does not claim a security interest in the entire switch (accession)</w:t>
      </w:r>
    </w:p>
    <w:p>
      <w:pPr>
        <w:pStyle w:val="BodyText"/>
        <w:numPr>
          <w:ilvl w:val="2"/>
          <w:numId w:val="3"/>
        </w:numPr>
        <w:rPr/>
      </w:pPr>
      <w:r>
        <w:rPr/>
        <w:t>In the event of foreclosure, the non-EBS portion of the switch can be removed without damage to EBS property, or other lender will reimburse EBS for damage</w:t>
      </w:r>
    </w:p>
    <w:p>
      <w:pPr>
        <w:pStyle w:val="BodyText"/>
        <w:numPr>
          <w:ilvl w:val="0"/>
          <w:numId w:val="3"/>
        </w:numPr>
        <w:rPr/>
      </w:pPr>
      <w:r>
        <w:rPr>
          <w:b/>
          <w:bCs/>
        </w:rPr>
        <w:t>Software License from UST to EBS regarding the TMS Software</w:t>
      </w:r>
    </w:p>
    <w:p>
      <w:pPr>
        <w:pStyle w:val="BodyText"/>
        <w:numPr>
          <w:ilvl w:val="1"/>
          <w:numId w:val="3"/>
        </w:numPr>
        <w:rPr/>
      </w:pPr>
      <w:r>
        <w:rPr/>
        <w:t>Scope of Use</w:t>
      </w:r>
    </w:p>
    <w:p>
      <w:pPr>
        <w:pStyle w:val="BodyText"/>
        <w:numPr>
          <w:ilvl w:val="2"/>
          <w:numId w:val="3"/>
        </w:numPr>
        <w:rPr/>
      </w:pPr>
      <w:r>
        <w:rPr/>
        <w:t>Use in connection with the switch financed by EBS</w:t>
      </w:r>
    </w:p>
    <w:p>
      <w:pPr>
        <w:pStyle w:val="BodyText"/>
        <w:numPr>
          <w:ilvl w:val="2"/>
          <w:numId w:val="3"/>
        </w:numPr>
        <w:rPr/>
      </w:pPr>
      <w:r>
        <w:rPr/>
        <w:t>EBS has right to use the TMS software on one additional switch (even if switch not owned by UST)</w:t>
      </w:r>
    </w:p>
    <w:p>
      <w:pPr>
        <w:pStyle w:val="BodyText"/>
        <w:numPr>
          <w:ilvl w:val="3"/>
          <w:numId w:val="3"/>
        </w:numPr>
        <w:rPr/>
      </w:pPr>
      <w:r>
        <w:rPr/>
        <w:t>No charges for this additional use other than maintenance fee</w:t>
      </w:r>
    </w:p>
    <w:p>
      <w:pPr>
        <w:pStyle w:val="BodyText"/>
        <w:numPr>
          <w:ilvl w:val="3"/>
          <w:numId w:val="3"/>
        </w:numPr>
        <w:rPr/>
      </w:pPr>
      <w:r>
        <w:rPr/>
        <w:t>All new releases or upgrades are included in this additional use</w:t>
      </w:r>
    </w:p>
    <w:p>
      <w:pPr>
        <w:pStyle w:val="BodyText"/>
        <w:numPr>
          <w:ilvl w:val="3"/>
          <w:numId w:val="3"/>
        </w:numPr>
        <w:rPr/>
      </w:pPr>
      <w:r>
        <w:rPr/>
        <w:t>This right to additional use is assignable by EBS</w:t>
      </w:r>
    </w:p>
    <w:p>
      <w:pPr>
        <w:pStyle w:val="BodyText"/>
        <w:numPr>
          <w:ilvl w:val="2"/>
          <w:numId w:val="3"/>
        </w:numPr>
        <w:rPr/>
      </w:pPr>
      <w:r>
        <w:rPr/>
        <w:t>EBS has the right to use TMS on other switches as well?</w:t>
      </w:r>
    </w:p>
    <w:p>
      <w:pPr>
        <w:pStyle w:val="BodyText"/>
        <w:numPr>
          <w:ilvl w:val="1"/>
          <w:numId w:val="3"/>
        </w:numPr>
        <w:rPr/>
      </w:pPr>
      <w:r>
        <w:rPr/>
        <w:t>EBS to have fully paid rights in all new releases or upgrades</w:t>
      </w:r>
    </w:p>
    <w:p>
      <w:pPr>
        <w:pStyle w:val="BodyText"/>
        <w:numPr>
          <w:ilvl w:val="2"/>
          <w:numId w:val="3"/>
        </w:numPr>
        <w:rPr/>
      </w:pPr>
      <w:r>
        <w:rPr/>
        <w:t>EBS rights are without regard to whether UST changes the name of the software, so long as function is the same (Min-X, etc.)</w:t>
      </w:r>
    </w:p>
    <w:p>
      <w:pPr>
        <w:pStyle w:val="BodyText"/>
        <w:numPr>
          <w:ilvl w:val="1"/>
          <w:numId w:val="3"/>
        </w:numPr>
        <w:rPr/>
      </w:pPr>
      <w:r>
        <w:rPr/>
        <w:t xml:space="preserve">Consideration by EBS? (port fees paid by EBS pursuant to the License and Services Agreement between UST and EBS?) </w:t>
      </w:r>
    </w:p>
    <w:p>
      <w:pPr>
        <w:pStyle w:val="BodyText"/>
        <w:numPr>
          <w:ilvl w:val="1"/>
          <w:numId w:val="3"/>
        </w:numPr>
        <w:rPr/>
      </w:pPr>
      <w:r>
        <w:rPr/>
        <w:t xml:space="preserve">Installation </w:t>
      </w:r>
    </w:p>
    <w:p>
      <w:pPr>
        <w:pStyle w:val="BodyText"/>
        <w:numPr>
          <w:ilvl w:val="1"/>
          <w:numId w:val="3"/>
        </w:numPr>
        <w:rPr/>
      </w:pPr>
      <w:r>
        <w:rPr/>
        <w:t xml:space="preserve">Term and termination </w:t>
      </w:r>
    </w:p>
    <w:p>
      <w:pPr>
        <w:pStyle w:val="BodyText"/>
        <w:numPr>
          <w:ilvl w:val="1"/>
          <w:numId w:val="3"/>
        </w:numPr>
        <w:rPr/>
      </w:pPr>
      <w:r>
        <w:rPr/>
        <w:t>EBS may assign or sublicense?</w:t>
      </w:r>
    </w:p>
    <w:p>
      <w:pPr>
        <w:pStyle w:val="BodyText"/>
        <w:numPr>
          <w:ilvl w:val="1"/>
          <w:numId w:val="3"/>
        </w:numPr>
        <w:rPr/>
      </w:pPr>
      <w:r>
        <w:rPr/>
        <w:t>Annual maintenance charges</w:t>
      </w:r>
    </w:p>
    <w:p>
      <w:pPr>
        <w:pStyle w:val="BodyText"/>
        <w:numPr>
          <w:ilvl w:val="1"/>
          <w:numId w:val="3"/>
        </w:numPr>
        <w:rPr/>
      </w:pPr>
      <w:r>
        <w:rPr/>
        <w:t>Software to be modified to include features needed by EBS?</w:t>
      </w:r>
    </w:p>
    <w:p>
      <w:pPr>
        <w:pStyle w:val="BodyText"/>
        <w:numPr>
          <w:ilvl w:val="0"/>
          <w:numId w:val="3"/>
        </w:numPr>
        <w:rPr>
          <w:b/>
          <w:bCs/>
        </w:rPr>
      </w:pPr>
      <w:r>
        <w:rPr>
          <w:b/>
          <w:bCs/>
        </w:rPr>
        <w:t>License and Services Agreement between UST and EBS</w:t>
      </w:r>
    </w:p>
    <w:p>
      <w:pPr>
        <w:pStyle w:val="BodyText"/>
        <w:numPr>
          <w:ilvl w:val="1"/>
          <w:numId w:val="3"/>
        </w:numPr>
        <w:rPr>
          <w:b/>
          <w:bCs/>
        </w:rPr>
      </w:pPr>
      <w:r>
        <w:rPr/>
        <w:t>Need to terminate existing License and Services Agreement, or amend it to include the Garden City, NY location?</w:t>
      </w:r>
    </w:p>
    <w:p>
      <w:pPr>
        <w:pStyle w:val="BodyText"/>
        <w:numPr>
          <w:ilvl w:val="1"/>
          <w:numId w:val="3"/>
        </w:numPr>
        <w:rPr>
          <w:b/>
          <w:bCs/>
        </w:rPr>
      </w:pPr>
      <w:r>
        <w:rPr/>
        <w:t>If EBS refers a customer to UST, EBS will not pay a port fee for any ports used to connect such customer to EBS</w:t>
      </w:r>
    </w:p>
    <w:p>
      <w:pPr>
        <w:pStyle w:val="BodyText"/>
        <w:numPr>
          <w:ilvl w:val="1"/>
          <w:numId w:val="3"/>
        </w:numPr>
        <w:rPr>
          <w:b/>
          <w:bCs/>
        </w:rPr>
      </w:pPr>
      <w:r>
        <w:rPr/>
        <w:t>UST will brand the EBS customer pages with the Enron brand</w:t>
      </w:r>
    </w:p>
    <w:p>
      <w:pPr>
        <w:pStyle w:val="BodyText"/>
        <w:numPr>
          <w:ilvl w:val="2"/>
          <w:numId w:val="3"/>
        </w:numPr>
        <w:rPr/>
      </w:pPr>
      <w:r>
        <w:rPr/>
        <w:t>Need Enron executive-level approval to allow use of brand?</w:t>
      </w:r>
    </w:p>
    <w:p>
      <w:pPr>
        <w:pStyle w:val="BodyText"/>
        <w:numPr>
          <w:ilvl w:val="0"/>
          <w:numId w:val="3"/>
        </w:numPr>
        <w:rPr/>
      </w:pPr>
      <w:r>
        <w:rPr>
          <w:b/>
          <w:bCs/>
        </w:rPr>
        <w:t>Pledge of Assets from UST to EBS</w:t>
      </w:r>
    </w:p>
    <w:p>
      <w:pPr>
        <w:pStyle w:val="BodyText"/>
        <w:numPr>
          <w:ilvl w:val="1"/>
          <w:numId w:val="3"/>
        </w:numPr>
        <w:rPr/>
      </w:pPr>
      <w:r>
        <w:rPr/>
        <w:t>Description Collateral</w:t>
      </w:r>
    </w:p>
    <w:p>
      <w:pPr>
        <w:pStyle w:val="BodyText"/>
        <w:numPr>
          <w:ilvl w:val="2"/>
          <w:numId w:val="3"/>
        </w:numPr>
        <w:rPr/>
      </w:pPr>
      <w:r>
        <w:rPr/>
        <w:t>Switch purchased from TPC/CES and related Nortel software</w:t>
      </w:r>
    </w:p>
    <w:p>
      <w:pPr>
        <w:pStyle w:val="BodyText"/>
        <w:numPr>
          <w:ilvl w:val="2"/>
          <w:numId w:val="3"/>
        </w:numPr>
        <w:rPr/>
      </w:pPr>
      <w:r>
        <w:rPr/>
        <w:t>License fees and other receivables owed to UST from customers using port capacity on the switch</w:t>
      </w:r>
    </w:p>
    <w:p>
      <w:pPr>
        <w:pStyle w:val="BodyText"/>
        <w:numPr>
          <w:ilvl w:val="2"/>
          <w:numId w:val="3"/>
        </w:numPr>
        <w:rPr/>
      </w:pPr>
      <w:r>
        <w:rPr/>
        <w:t>TMS software</w:t>
      </w:r>
    </w:p>
    <w:p>
      <w:pPr>
        <w:pStyle w:val="BodyText"/>
        <w:numPr>
          <w:ilvl w:val="3"/>
          <w:numId w:val="3"/>
        </w:numPr>
        <w:rPr/>
      </w:pPr>
      <w:r>
        <w:rPr/>
        <w:t>What happens to the License Agreement between UST and EBS regarding the TMS software if EBS forecloses its security interest and becomes the owner of the TMS software</w:t>
      </w:r>
    </w:p>
    <w:p>
      <w:pPr>
        <w:pStyle w:val="BodyText"/>
        <w:numPr>
          <w:ilvl w:val="2"/>
          <w:numId w:val="3"/>
        </w:numPr>
        <w:rPr/>
      </w:pPr>
      <w:r>
        <w:rPr/>
        <w:t>All other assets of UST</w:t>
      </w:r>
    </w:p>
    <w:p>
      <w:pPr>
        <w:pStyle w:val="BodyText"/>
        <w:numPr>
          <w:ilvl w:val="1"/>
          <w:numId w:val="3"/>
        </w:numPr>
        <w:rPr/>
      </w:pPr>
      <w:r>
        <w:rPr/>
        <w:t>Security Agreement</w:t>
      </w:r>
    </w:p>
    <w:p>
      <w:pPr>
        <w:pStyle w:val="BodyText"/>
        <w:numPr>
          <w:ilvl w:val="2"/>
          <w:numId w:val="3"/>
        </w:numPr>
        <w:rPr/>
      </w:pPr>
      <w:r>
        <w:rPr/>
        <w:t>Can EBS obtain purchase-money security interest in the switch and related assets?</w:t>
      </w:r>
    </w:p>
    <w:p>
      <w:pPr>
        <w:pStyle w:val="BodyText"/>
        <w:numPr>
          <w:ilvl w:val="1"/>
          <w:numId w:val="3"/>
        </w:numPr>
        <w:rPr/>
      </w:pPr>
      <w:r>
        <w:rPr/>
        <w:t>Escrow Agreement regarding source code for TMS software</w:t>
      </w:r>
    </w:p>
    <w:p>
      <w:pPr>
        <w:pStyle w:val="BodyText"/>
        <w:numPr>
          <w:ilvl w:val="1"/>
          <w:numId w:val="3"/>
        </w:numPr>
        <w:rPr/>
      </w:pPr>
      <w:r>
        <w:rPr/>
        <w:t>Guaranty executed by Robert Lifgren, president of UST?</w:t>
      </w:r>
    </w:p>
    <w:p>
      <w:pPr>
        <w:pStyle w:val="BodyText"/>
        <w:numPr>
          <w:ilvl w:val="1"/>
          <w:numId w:val="3"/>
        </w:numPr>
        <w:rPr/>
      </w:pPr>
      <w:r>
        <w:rPr/>
        <w:t>UCC financing statements</w:t>
      </w:r>
    </w:p>
    <w:p>
      <w:pPr>
        <w:pStyle w:val="BodyText"/>
        <w:numPr>
          <w:ilvl w:val="2"/>
          <w:numId w:val="3"/>
        </w:numPr>
        <w:rPr/>
      </w:pPr>
      <w:r>
        <w:rPr/>
        <w:t>Need to know UST’s state of incorporation</w:t>
      </w:r>
    </w:p>
    <w:p>
      <w:pPr>
        <w:pStyle w:val="BodyText"/>
        <w:numPr>
          <w:ilvl w:val="1"/>
          <w:numId w:val="3"/>
        </w:numPr>
        <w:rPr/>
      </w:pPr>
      <w:r>
        <w:rPr/>
        <w:t>UCC lien searches on UST</w:t>
      </w:r>
    </w:p>
    <w:p>
      <w:pPr>
        <w:pStyle w:val="BodyText"/>
        <w:numPr>
          <w:ilvl w:val="0"/>
          <w:numId w:val="3"/>
        </w:numPr>
        <w:rPr/>
      </w:pPr>
      <w:r>
        <w:rPr>
          <w:b/>
          <w:bCs/>
        </w:rPr>
        <w:t xml:space="preserve">Assignment to EBS of UST’s Garden City, NY Leasehold Interest </w:t>
      </w:r>
    </w:p>
    <w:p>
      <w:pPr>
        <w:pStyle w:val="BodyText"/>
        <w:numPr>
          <w:ilvl w:val="1"/>
          <w:numId w:val="3"/>
        </w:numPr>
        <w:rPr/>
      </w:pPr>
      <w:r>
        <w:rPr/>
        <w:t>Copy of lease</w:t>
      </w:r>
    </w:p>
    <w:p>
      <w:pPr>
        <w:pStyle w:val="BodyText"/>
        <w:numPr>
          <w:ilvl w:val="1"/>
          <w:numId w:val="3"/>
        </w:numPr>
        <w:rPr/>
      </w:pPr>
      <w:r>
        <w:rPr/>
        <w:t>Landlord’s consent to assignment</w:t>
      </w:r>
    </w:p>
    <w:p>
      <w:pPr>
        <w:pStyle w:val="BodyText"/>
        <w:numPr>
          <w:ilvl w:val="1"/>
          <w:numId w:val="3"/>
        </w:numPr>
        <w:rPr/>
      </w:pPr>
      <w:r>
        <w:rPr/>
        <w:t>Landlord’s waiver of liens</w:t>
      </w:r>
    </w:p>
    <w:p>
      <w:pPr>
        <w:pStyle w:val="BodyText"/>
        <w:numPr>
          <w:ilvl w:val="0"/>
          <w:numId w:val="3"/>
        </w:numPr>
        <w:rPr/>
      </w:pPr>
      <w:r>
        <w:rPr>
          <w:b/>
          <w:bCs/>
        </w:rPr>
        <w:t>Nortel RTU and Warranty Issues</w:t>
      </w:r>
    </w:p>
    <w:p>
      <w:pPr>
        <w:pStyle w:val="BodyText"/>
        <w:numPr>
          <w:ilvl w:val="1"/>
          <w:numId w:val="3"/>
        </w:numPr>
        <w:rPr/>
      </w:pPr>
      <w:r>
        <w:rPr/>
        <w:t>Certification of RTU from Nortel in favor of UST and/or EBS</w:t>
      </w:r>
    </w:p>
    <w:p>
      <w:pPr>
        <w:pStyle w:val="BodyText"/>
        <w:numPr>
          <w:ilvl w:val="2"/>
          <w:numId w:val="3"/>
        </w:numPr>
        <w:rPr/>
      </w:pPr>
      <w:r>
        <w:rPr/>
        <w:t xml:space="preserve">Should certification be in favor of (i) UST, or (ii) EBS, or (iii) UST, with agreement by Nortel to assign to EBS at no cost in the event of a foreclosure? </w:t>
      </w:r>
    </w:p>
    <w:p>
      <w:pPr>
        <w:pStyle w:val="BodyText"/>
        <w:numPr>
          <w:ilvl w:val="2"/>
          <w:numId w:val="3"/>
        </w:numPr>
        <w:rPr/>
      </w:pPr>
      <w:r>
        <w:rPr/>
        <w:t>UST to pay cost to obtain certification (approximately $330,000)</w:t>
      </w:r>
    </w:p>
    <w:p>
      <w:pPr>
        <w:pStyle w:val="BodyText"/>
        <w:numPr>
          <w:ilvl w:val="1"/>
          <w:numId w:val="3"/>
        </w:numPr>
        <w:rPr/>
      </w:pPr>
      <w:r>
        <w:rPr/>
        <w:t>Warranties from Nortel</w:t>
      </w:r>
    </w:p>
    <w:p>
      <w:pPr>
        <w:pStyle w:val="BodyText"/>
        <w:numPr>
          <w:ilvl w:val="2"/>
          <w:numId w:val="3"/>
        </w:numPr>
        <w:rPr/>
      </w:pPr>
      <w:r>
        <w:rPr/>
        <w:t>Do we need Nortel’s consent to have their warranties assigned?</w:t>
      </w:r>
    </w:p>
    <w:p>
      <w:pPr>
        <w:pStyle w:val="BodyText"/>
        <w:numPr>
          <w:ilvl w:val="2"/>
          <w:numId w:val="3"/>
        </w:numPr>
        <w:rPr/>
      </w:pPr>
      <w:r>
        <w:rPr/>
        <w:t>Who will the warranties be assigned to?</w:t>
      </w:r>
    </w:p>
    <w:p>
      <w:pPr>
        <w:pStyle w:val="BodyText"/>
        <w:numPr>
          <w:ilvl w:val="0"/>
          <w:numId w:val="3"/>
        </w:numPr>
        <w:rPr>
          <w:b/>
          <w:bCs/>
        </w:rPr>
      </w:pPr>
      <w:r>
        <w:rPr>
          <w:b/>
          <w:bCs/>
        </w:rPr>
        <w:t>Business and Structuring Issues</w:t>
      </w:r>
    </w:p>
    <w:p>
      <w:pPr>
        <w:pStyle w:val="BodyText"/>
        <w:numPr>
          <w:ilvl w:val="1"/>
          <w:numId w:val="3"/>
        </w:numPr>
        <w:rPr>
          <w:b/>
          <w:bCs/>
        </w:rPr>
      </w:pPr>
      <w:r>
        <w:rPr/>
        <w:t>Lease vs. promissory note</w:t>
      </w:r>
    </w:p>
    <w:p>
      <w:pPr>
        <w:pStyle w:val="BodyText"/>
        <w:numPr>
          <w:ilvl w:val="1"/>
          <w:numId w:val="3"/>
        </w:numPr>
        <w:spacing w:before="0" w:after="240"/>
        <w:rPr>
          <w:b/>
          <w:bCs/>
        </w:rPr>
      </w:pPr>
      <w:r>
        <w:rPr/>
        <w:t>In the event UST files bankruptcy and EBS is not paid the rent due under the lease, EBS wants to offset amounts owed to UST pursuant to the License and Services Agreement, and the Software License</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HOU:701656.1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HOU:701656.1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sz w:val="24"/>
        <w:i w:val="false"/>
        <w:b/>
        <w:rFonts w:ascii="Times New Roman Bold" w:hAnsi="Times New Roman Bold" w:cs="Times New Roman Bold"/>
      </w:rPr>
    </w:lvl>
    <w:lvl w:ilvl="1">
      <w:start w:val="1"/>
      <w:numFmt w:val="decimal"/>
      <w:lvlText w:val="%2."/>
      <w:lvlJc w:val="start"/>
      <w:pPr>
        <w:tabs>
          <w:tab w:val="num" w:pos="360"/>
        </w:tabs>
        <w:ind w:start="0" w:hanging="0"/>
      </w:pPr>
      <w:rPr>
        <w:sz w:val="24"/>
        <w:i w:val="false"/>
        <w:b w:val="false"/>
        <w:rFonts w:ascii="Times New Roman" w:hAnsi="Times New Roman" w:cs="Times New Roman"/>
      </w:rPr>
    </w:lvl>
    <w:lvl w:ilvl="2">
      <w:start w:val="1"/>
      <w:numFmt w:val="lowerLetter"/>
      <w:lvlText w:val="%3)"/>
      <w:lvlJc w:val="start"/>
      <w:pPr>
        <w:tabs>
          <w:tab w:val="num" w:pos="720"/>
        </w:tabs>
        <w:ind w:start="720" w:hanging="36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upperRoman"/>
      <w:lvlText w:val="%1."/>
      <w:lvlJc w:val="end"/>
      <w:pPr>
        <w:tabs>
          <w:tab w:val="num" w:pos="540"/>
        </w:tabs>
        <w:ind w:start="540" w:hanging="180"/>
      </w:pPr>
      <w:rPr>
        <w:i w:val="false"/>
        <w:b/>
      </w:rPr>
    </w:lvl>
    <w:lvl w:ilvl="1">
      <w:start w:val="1"/>
      <w:numFmt w:val="lowerLetter"/>
      <w:lvlText w:val="%2."/>
      <w:lvlJc w:val="start"/>
      <w:pPr>
        <w:tabs>
          <w:tab w:val="num" w:pos="1440"/>
        </w:tabs>
        <w:ind w:start="1440" w:hanging="360"/>
      </w:pPr>
      <w:rPr>
        <w:i w:val="false"/>
        <w:b/>
      </w:rPr>
    </w:lvl>
    <w:lvl w:ilvl="2">
      <w:start w:val="1"/>
      <w:numFmt w:val="lowerRoman"/>
      <w:lvlText w:val="%3."/>
      <w:lvlJc w:val="end"/>
      <w:pPr>
        <w:tabs>
          <w:tab w:val="num" w:pos="2340"/>
        </w:tabs>
        <w:ind w:start="2340" w:hanging="360"/>
      </w:pPr>
      <w:rPr>
        <w:i w:val="false"/>
        <w:b/>
      </w:rPr>
    </w:lvl>
    <w:lvl w:ilvl="3">
      <w:start w:val="1"/>
      <w:numFmt w:val="decimal"/>
      <w:lvlText w:val="%4."/>
      <w:lvlJc w:val="start"/>
      <w:pPr>
        <w:tabs>
          <w:tab w:val="num" w:pos="2880"/>
        </w:tabs>
        <w:ind w:start="2880" w:hanging="360"/>
      </w:pPr>
      <w:rPr>
        <w:i w:val="false"/>
        <w:b/>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numPr>
        <w:ilvl w:val="0"/>
        <w:numId w:val="2"/>
      </w:numPr>
      <w:spacing w:before="0" w:after="240"/>
      <w:jc w:val="start"/>
      <w:outlineLvl w:val="2"/>
    </w:pPr>
    <w:rPr>
      <w:sz w:val="20"/>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WW8Num1z0">
    <w:name w:val="WW8Num1z0"/>
    <w:qFormat/>
    <w:rPr>
      <w:rFonts w:ascii="Times New Roman Bold" w:hAnsi="Times New Roman Bold" w:cs="Times New Roman Bold"/>
      <w:b/>
      <w:i w:val="false"/>
      <w:sz w:val="24"/>
    </w:rPr>
  </w:style>
  <w:style w:type="character" w:styleId="WW8Num1z1">
    <w:name w:val="WW8Num1z1"/>
    <w:qFormat/>
    <w:rPr>
      <w:rFonts w:ascii="Times New Roman" w:hAnsi="Times New Roman" w:cs="Times New Roman"/>
      <w:b w:val="false"/>
      <w:i w:val="false"/>
      <w:sz w:val="24"/>
    </w:rPr>
  </w:style>
  <w:style w:type="character" w:styleId="WW8Num1z2">
    <w:name w:val="WW8Num1z2"/>
    <w:qFormat/>
    <w:rPr/>
  </w:style>
  <w:style w:type="character" w:styleId="WW8Num2z0">
    <w:name w:val="WW8Num2z0"/>
    <w:qFormat/>
    <w:rPr>
      <w:b/>
      <w:i w:val="false"/>
    </w:rPr>
  </w:style>
  <w:style w:type="character" w:styleId="DefaultParagraphFont">
    <w:name w:val="Default Paragraph Font"/>
    <w:qFormat/>
    <w:rPr/>
  </w:style>
  <w:style w:type="character" w:styleId="DocID">
    <w:name w:val="DocID"/>
    <w:basedOn w:val="DefaultParagraphFont"/>
    <w:qFormat/>
    <w:rPr>
      <w:sz w:val="12"/>
    </w:rPr>
  </w:style>
  <w:style w:type="paragraph" w:styleId="Heading">
    <w:name w:val="Heading"/>
    <w:next w:val="Header"/>
    <w:qFormat/>
    <w:pPr>
      <w:widowControl/>
      <w:bidi w:val="0"/>
      <w:jc w:val="center"/>
    </w:pPr>
    <w:rPr>
      <w:rFonts w:ascii="Times New Roman" w:hAnsi="Times New Roman" w:eastAsia="Times New Roman" w:cs="Times New Roman"/>
      <w:b/>
      <w:color w:val="auto"/>
      <w:sz w:val="20"/>
      <w:szCs w:val="20"/>
      <w:lang w:val="en-US" w:bidi="ar-SA" w:eastAsia="zh-CN"/>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Style11">
    <w:name w:val="Style1"/>
    <w:basedOn w:val="Heading3"/>
    <w:qFormat/>
    <w:pPr>
      <w:numPr>
        <w:ilvl w:val="0"/>
        <w:numId w:val="2"/>
      </w:numPr>
    </w:pPr>
    <w:rPr>
      <w:sz w:val="20"/>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2001-11-01T18:22:00Z</dcterms:created>
  <dc:creator>A&amp;K</dc:creator>
  <dc:description/>
  <dc:language>en-CA</dc:language>
  <cp:lastModifiedBy>tbrennig</cp:lastModifiedBy>
  <cp:lastPrinted>2001-11-01T14:02:00Z</cp:lastPrinted>
  <dcterms:modified xsi:type="dcterms:W3CDTF">2001-11-01T18:22:00Z</dcterms:modified>
  <cp:revision>2</cp:revision>
  <dc:subject/>
  <dc:title>Transaction with US Telenet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HOU:701656.1 </vt:lpwstr>
  </property>
</Properties>
</file>