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State of Maine Standard Offer Transaction</w:t>
      </w:r>
    </w:p>
    <w:p>
      <w:pPr>
        <w:pStyle w:val="Normal"/>
        <w:jc w:val="center"/>
        <w:rPr/>
      </w:pPr>
      <w:r>
        <w:rPr/>
      </w:r>
    </w:p>
    <w:p>
      <w:pPr>
        <w:pStyle w:val="Normal"/>
        <w:jc w:val="center"/>
        <w:rPr/>
      </w:pPr>
      <w:r>
        <w:rPr/>
      </w:r>
    </w:p>
    <w:p>
      <w:pPr>
        <w:pStyle w:val="Heading1"/>
        <w:ind w:hanging="0" w:start="0"/>
        <w:rPr/>
      </w:pPr>
      <w:r>
        <w:rPr/>
        <w:t>OVERVIEW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As a result of restructuring legislation in the State of Maine, the Maine Public Utilities Commission (“State” or “PUC”) is conducting a Request for Bids (“RFB”) process to supply full requirements service to Standard Offer Service (“SOS”) customers on each of the Central Maine Power (“CMP”), Bangor Hydro Electric (“BH”), and Maine Public Service (“MPS”) systems.  As MPS is located in northern Maine and is not interconnected to NEPOOL (can only be served through New Brunswick, Canada), our interest lies in the CMP and BH loads.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The State has issued separate RFBs for each utility, which solicit fixed price offers to supply all requirements associated with up to 100% of the needs of each of three groupings of customers.  These customer groupings are as follows:  (1) Residential and Small Non-Residential; (2) Medium Non-Residential; and (3) Large Non-Residential.  At this time, our interest is in a portion (~20-40%) of the Residential/Small Non-Residential load, as this class is least subject to migration risk.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The term of service would commence on 3/1/01 for all but the Residential/Small Non-Residential class for CMP, and suppliers can proposed terms as short as one year or as long as four years (or 3 for the CMP Residential/Small Non-Residential class).  All terms must be for full years beginning on March 1</w:t>
      </w:r>
      <w:r>
        <w:rPr>
          <w:vertAlign w:val="superscript"/>
        </w:rPr>
        <w:t>st</w:t>
      </w:r>
      <w:r>
        <w:rPr/>
        <w:t xml:space="preserve"> and ending on February 28</w:t>
      </w:r>
      <w:r>
        <w:rPr>
          <w:vertAlign w:val="superscript"/>
        </w:rPr>
        <w:t>th</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On November 1, 2000, EPMI submitted proposed markups of the standard contract and submitted various materials required by the State to qualify prospective bidders to submit price proposals on December 7, 2000.  On December 7</w:t>
      </w:r>
      <w:r>
        <w:rPr>
          <w:vertAlign w:val="superscript"/>
        </w:rPr>
        <w:t>th</w:t>
      </w:r>
      <w:r>
        <w:rPr/>
        <w:t>, the State is requesting binding proposals from Bidders which must remain firm for up to a 2-week period during which the PUC will review proposals and potentially select one or more successful suppliers.  However, the State has reserved the right to reject all proposals for any reason.  For example, last year the State did not select any suppliers from the first RFB because it felt the prices it received were “too high.”  The State conducted a re-bid a few weeks late, only to scrap most proposals yet again.  It did award a contract for 100% of CMP’s residential and small non-residential for the period ending Feb 28, 2002.  For the remaining classes, the State ordered the utilities to make their own power supply arrangements which would need to be reviewed and approved by the PUC.  Given that current wholesale prices are generally above those in effect at the time of last year’s solicitation, it is not out of the question that the State may once again scrap the proposals and instruct the utilities to arrange for supplies on their own behalf.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Based on the State’s review of our Phase I proposal and contract comments/markups, we must comply with the following requirements by December 1 to secure eligibility to submit a Phase II proposal on December 7</w:t>
      </w:r>
      <w:r>
        <w:rPr>
          <w:vertAlign w:val="superscript"/>
        </w:rPr>
        <w:t>th</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
    </w:p>
    <w:p>
      <w:pPr>
        <w:pStyle w:val="Normal"/>
        <w:numPr>
          <w:ilvl w:val="0"/>
          <w:numId w:val="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Need to modify our Corporate Guarantee so that it is to be governed by laws of State of Maine (as opposed to Texas?);</w:t>
      </w:r>
    </w:p>
    <w:p>
      <w:pPr>
        <w:pStyle w:val="Normal"/>
        <w:numPr>
          <w:ilvl w:val="0"/>
          <w:numId w:val="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Provide a guarantee in the form of a certified statement as specified in the RFB, or clarify that the form we provided reflects such a certified statement; and</w:t>
      </w:r>
    </w:p>
    <w:p>
      <w:pPr>
        <w:pStyle w:val="Normal"/>
        <w:numPr>
          <w:ilvl w:val="0"/>
          <w:numId w:val="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t>We must sign a mutually acceptable version of the signed Statement of Commitment.  (This is essentially the document that creates the binding nature of any price proposals we submit on December 7</w:t>
      </w:r>
      <w:r>
        <w:rPr>
          <w:vertAlign w:val="superscript"/>
        </w:rPr>
        <w:t>th</w:t>
      </w:r>
      <w:r>
        <w:rPr/>
        <w:t>, and as proposed to date, is very onerous).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
    </w:p>
    <w:p>
      <w:pPr>
        <w:pStyle w:val="Normal"/>
        <w:jc w:val="both"/>
        <w:rPr>
          <w:b/>
        </w:rPr>
      </w:pPr>
      <w:r>
        <w:rPr>
          <w:b/>
        </w:rPr>
      </w:r>
    </w:p>
    <w:p>
      <w:pPr>
        <w:pStyle w:val="Normal"/>
        <w:jc w:val="both"/>
        <w:rPr>
          <w:b/>
        </w:rPr>
      </w:pPr>
      <w:r>
        <w:rPr>
          <w:b/>
        </w:rPr>
        <w:t>SUPPLIER OBLIGATIONS/RESPONSIBILITIES</w:t>
      </w:r>
    </w:p>
    <w:p>
      <w:pPr>
        <w:pStyle w:val="BodyText"/>
        <w:rPr/>
      </w:pPr>
      <w:r>
        <w:rPr/>
        <w:t>Similar to the United Illuminating deal, this transaction would involve EPMI serving all-requirements service to meet the portion of SOS obligations we may ultimately be awarded.  The various obligations that would be imposed on EPMI are as follows:</w:t>
      </w:r>
    </w:p>
    <w:p>
      <w:pPr>
        <w:pStyle w:val="BodyText"/>
        <w:rPr/>
      </w:pPr>
      <w:r>
        <w:rPr/>
      </w:r>
    </w:p>
    <w:p>
      <w:pPr>
        <w:pStyle w:val="BodyText"/>
        <w:numPr>
          <w:ilvl w:val="0"/>
          <w:numId w:val="5"/>
        </w:numPr>
        <w:rPr/>
      </w:pPr>
      <w:r>
        <w:rPr>
          <w:b/>
          <w:i/>
        </w:rPr>
        <w:t>Energy</w:t>
      </w:r>
      <w:r>
        <w:rPr/>
        <w:t xml:space="preserve"> – EPMI would be required to serve the hourly energy requirements of its share of the SOS load (i.e., depending on what % share EPMI is selected to serve).  EPMI would be responsible for changes in hourly load regardless of cause, including load changes due to weather, usage pattern changes, migration from standard offer, etc.  EPMI would bear all load forecast risk associated with serving the SOS energy requirements.</w:t>
      </w:r>
    </w:p>
    <w:p>
      <w:pPr>
        <w:pStyle w:val="BodyText"/>
        <w:numPr>
          <w:ilvl w:val="0"/>
          <w:numId w:val="5"/>
        </w:numPr>
        <w:rPr/>
      </w:pPr>
      <w:r>
        <w:rPr>
          <w:b/>
          <w:i/>
        </w:rPr>
        <w:t>ICAP</w:t>
      </w:r>
      <w:r>
        <w:rPr/>
        <w:t xml:space="preserve"> – EPMI would be responsible for covering the ICAP requirements associated with its share of SOS load served.</w:t>
      </w:r>
    </w:p>
    <w:p>
      <w:pPr>
        <w:pStyle w:val="BodyText"/>
        <w:numPr>
          <w:ilvl w:val="0"/>
          <w:numId w:val="5"/>
        </w:numPr>
        <w:rPr/>
      </w:pPr>
      <w:r>
        <w:rPr>
          <w:b/>
          <w:i/>
        </w:rPr>
        <w:t>Operating reserves and AGC</w:t>
      </w:r>
      <w:r>
        <w:rPr/>
        <w:t xml:space="preserve"> – EPMI would be required to supply 10-minute spinning reserve, 10-minute non-spinning reserve, 30-minute operating reserve, and automatic generation control (AGC) associated with the share of SOS load it was selected to serve.</w:t>
      </w:r>
    </w:p>
    <w:p>
      <w:pPr>
        <w:pStyle w:val="BodyText"/>
        <w:numPr>
          <w:ilvl w:val="0"/>
          <w:numId w:val="5"/>
        </w:numPr>
        <w:rPr/>
      </w:pPr>
      <w:r>
        <w:rPr>
          <w:b/>
          <w:i/>
        </w:rPr>
        <w:t>Energy uplift</w:t>
      </w:r>
      <w:r>
        <w:rPr/>
        <w:t xml:space="preserve"> – EPMI would be responsible for paying energy and congestion uplift costs associated with the share of SOS load it is selected to serve.  Energy uplift represents the out-of-merit dispatch costs in NEPOOL due to the operating limitations (e.g., min runtimes, ramping constraints, min downtimes, etc.) of the fleet of generation available to ISO dispatchers to meet load within NEPOOL.  The other form of uplift, congestion uplift, represents the out-of-merit dispatch costs as a result of dispatching generation out of strict economic merit order to alleviate transmission-related constraints.  Currently, congestion uplift is allocated to entities within NEPOOL based on their pro-rata share of Regional Network Service (RNS) load, which ends up being the T&amp;D companies (i.e., companies like CMP, BH, UI, NSTAR, etc.).   </w:t>
      </w:r>
      <w:r>
        <w:rPr>
          <w:i/>
          <w:color w:val="FF0000"/>
        </w:rPr>
        <w:t>We need to clarify as to whether CMP and BH will retain responsibilities for congestion uplift, or whether the States intends for the SOS supplier(s) to cover congestion uplift.</w:t>
      </w:r>
      <w:r>
        <w:rPr/>
        <w:t xml:space="preserve">   Importantly, there have been some proposals floated that would change the way congestion uplift is allocated (e.g., 50/50 sharing of congestion uplift between RNS load and Electric load, in which case EPMI would be responsible for congestion uplift), but the extent to which such proposals may be adopted is quite uncertain at this time.  Once CMS/MSS is implemented, congestion uplift would become embedded within the locational energy clearing prices, and thus would be the clear responsibility of load servers.</w:t>
      </w:r>
    </w:p>
    <w:p>
      <w:pPr>
        <w:pStyle w:val="BodyText"/>
        <w:numPr>
          <w:ilvl w:val="0"/>
          <w:numId w:val="5"/>
        </w:numPr>
        <w:rPr/>
      </w:pPr>
      <w:r>
        <w:rPr>
          <w:b/>
          <w:i/>
        </w:rPr>
        <w:t>Energy losses</w:t>
      </w:r>
      <w:r>
        <w:rPr/>
        <w:t xml:space="preserve"> – EPMI would be responsible for all NEPOOL PTF transmission losses, as well as local losses over the CMP/BH distribution systems.</w:t>
      </w:r>
    </w:p>
    <w:p>
      <w:pPr>
        <w:pStyle w:val="BodyText"/>
        <w:numPr>
          <w:ilvl w:val="0"/>
          <w:numId w:val="5"/>
        </w:numPr>
        <w:rPr/>
      </w:pPr>
      <w:r>
        <w:rPr>
          <w:b/>
          <w:i/>
        </w:rPr>
        <w:t>ISO tariff charges</w:t>
      </w:r>
      <w:r>
        <w:rPr/>
        <w:t xml:space="preserve"> – These are the costs associated with operation and administration of the ISO.  </w:t>
      </w:r>
      <w:r>
        <w:rPr>
          <w:i/>
          <w:color w:val="FF0000"/>
        </w:rPr>
        <w:t>Need to clarify as to whether we would be responsible for these charges</w:t>
      </w:r>
      <w:r>
        <w:rPr/>
        <w:t>.</w:t>
      </w:r>
    </w:p>
    <w:p>
      <w:pPr>
        <w:pStyle w:val="BodyText"/>
        <w:numPr>
          <w:ilvl w:val="0"/>
          <w:numId w:val="5"/>
        </w:numPr>
        <w:rPr/>
      </w:pPr>
      <w:r>
        <w:rPr>
          <w:b/>
          <w:i/>
        </w:rPr>
        <w:t>Other obligations/costs</w:t>
      </w:r>
      <w:r>
        <w:rPr/>
        <w:t xml:space="preserve"> – EPMI would be on the hook for any other obligations/costs associated with any new or future products/obligations placed on suppliers of load by ISO-NE.</w:t>
      </w:r>
    </w:p>
    <w:p>
      <w:pPr>
        <w:pStyle w:val="BodyText"/>
        <w:rPr/>
      </w:pPr>
      <w:r>
        <w:rPr/>
      </w:r>
    </w:p>
    <w:p>
      <w:pPr>
        <w:pStyle w:val="BodyText"/>
        <w:rPr/>
      </w:pPr>
      <w:r>
        <w:rPr/>
        <w:t>Obligations retained by CMP/BH include the following:</w:t>
      </w:r>
    </w:p>
    <w:p>
      <w:pPr>
        <w:pStyle w:val="Normal"/>
        <w:numPr>
          <w:ilvl w:val="0"/>
          <w:numId w:val="9"/>
        </w:numPr>
        <w:jc w:val="both"/>
        <w:rPr/>
      </w:pPr>
      <w:r>
        <w:rPr>
          <w:b/>
          <w:i/>
        </w:rPr>
        <w:t>Regional and local transmission/distribution service</w:t>
      </w:r>
      <w:r>
        <w:rPr/>
        <w:t xml:space="preserve"> – CMP/BH will be responsible for arranging and paying for regional/local transmission and distribution service.</w:t>
      </w:r>
    </w:p>
    <w:p>
      <w:pPr>
        <w:pStyle w:val="Normal"/>
        <w:numPr>
          <w:ilvl w:val="0"/>
          <w:numId w:val="9"/>
        </w:numPr>
        <w:jc w:val="both"/>
        <w:rPr/>
      </w:pPr>
      <w:r>
        <w:rPr>
          <w:b/>
          <w:i/>
        </w:rPr>
        <w:t>Uncollectable risks</w:t>
      </w:r>
      <w:r>
        <w:rPr/>
        <w:t xml:space="preserve"> – SOS supplier(s) will be allocated a fixed uncollectable percentage for the term of service, based upon the average uncollectable accounts of customers in each standard offer class for a representative period.  CMP/BH would be responsible for uncollectable amounts exceeding or would benefit from uncollectables falling short of this fixed percentage.</w:t>
      </w:r>
    </w:p>
    <w:p>
      <w:pPr>
        <w:pStyle w:val="Normal"/>
        <w:numPr>
          <w:ilvl w:val="0"/>
          <w:numId w:val="9"/>
        </w:numPr>
        <w:jc w:val="both"/>
        <w:rPr>
          <w:b/>
        </w:rPr>
      </w:pPr>
      <w:r>
        <w:rPr>
          <w:b/>
          <w:i/>
        </w:rPr>
        <w:t xml:space="preserve">Metering, billing, and collections – </w:t>
      </w:r>
      <w:r>
        <w:rPr/>
        <w:t xml:space="preserve">CMP/BH will perform these services for the SOS supplier(s) for a tariff-based fee.  </w:t>
      </w:r>
      <w:r>
        <w:rPr>
          <w:i/>
          <w:color w:val="FF0000"/>
        </w:rPr>
        <w:t>It appears that they have reserved the right to make changes to these fees during the term of service – we have made it clear in our comments on the draft T&amp;D Services contract that fee changes mid-term would be unacceptable to us.</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Heading1"/>
        <w:ind w:hanging="0" w:start="0"/>
        <w:rPr/>
      </w:pPr>
      <w:r>
        <w:rPr/>
        <w:t>LEGAL RISKS</w:t>
      </w:r>
    </w:p>
    <w:p>
      <w:pPr>
        <w:pStyle w:val="Normal"/>
        <w:keepLines/>
        <w:spacing w:lineRule="atLeast" w:line="240"/>
        <w:jc w:val="both"/>
        <w:rPr>
          <w:rFonts w:ascii="Helv" w:hAnsi="Helv" w:cs="Helv"/>
          <w:color w:val="000000"/>
          <w:lang w:eastAsia="en-US"/>
        </w:rPr>
      </w:pPr>
      <w:r>
        <w:rPr>
          <w:rFonts w:cs="Helv" w:ascii="Helv" w:hAnsi="Helv"/>
          <w:color w:val="000000"/>
          <w:lang w:eastAsia="en-US"/>
        </w:rPr>
      </w:r>
    </w:p>
    <w:p>
      <w:pPr>
        <w:pStyle w:val="Normal"/>
        <w:keepLines/>
        <w:numPr>
          <w:ilvl w:val="0"/>
          <w:numId w:val="3"/>
        </w:numPr>
        <w:spacing w:lineRule="atLeast" w:line="240"/>
        <w:jc w:val="both"/>
        <w:rPr>
          <w:rFonts w:ascii="Helv" w:hAnsi="Helv" w:cs="Helv"/>
          <w:color w:val="000000"/>
          <w:lang w:eastAsia="en-US"/>
        </w:rPr>
      </w:pPr>
      <w:r>
        <w:rPr>
          <w:rFonts w:cs="Helv" w:ascii="Helv" w:hAnsi="Helv"/>
          <w:b/>
          <w:i/>
          <w:color w:val="000000"/>
          <w:lang w:eastAsia="en-US"/>
        </w:rPr>
        <w:t>Contract Counterparty</w:t>
      </w:r>
      <w:r>
        <w:rPr>
          <w:rFonts w:cs="Helv" w:ascii="Helv" w:hAnsi="Helv"/>
          <w:color w:val="000000"/>
          <w:lang w:eastAsia="en-US"/>
        </w:rPr>
        <w:t>:  EPMI would be the supplier/seller of energy and ancillary services.  The Standard Agreement, however, does not provide for the sale of energy and ancillaries to the Maine utilities (which are now T&amp;D companies).  The Standard Agreement covers transmission, distribution, metering and bill collection services  -- all services that the T&amp;D will perform for EPMI and for which EPMI will pay fees (effectively creating a transmission services contract and not much more).  That's because the T&amp;D companies CANNOT, under Maine laws and regulations, buy the energy and ancillaries from EPMI and resell them to the SOS customers.  So the SOS customers (residential, commercial, industrial) will buy the energy and ancillaries, and the terms of our "contract" with them is the SOS Rule 301 adopted by the MPUC.  We are still working to devise a way, short of an official contract, to get us protection from potential changes in SOS service rules promulgated by the PUC during the term of service.</w:t>
      </w:r>
    </w:p>
    <w:p>
      <w:pPr>
        <w:pStyle w:val="Normal"/>
        <w:keepLines/>
        <w:numPr>
          <w:ilvl w:val="0"/>
          <w:numId w:val="4"/>
        </w:numPr>
        <w:spacing w:lineRule="atLeast" w:line="240"/>
        <w:jc w:val="both"/>
        <w:rPr>
          <w:rFonts w:ascii="Helv" w:hAnsi="Helv" w:cs="Helv"/>
          <w:color w:val="000000"/>
          <w:lang w:eastAsia="en-US"/>
        </w:rPr>
      </w:pPr>
      <w:r>
        <w:rPr>
          <w:rFonts w:cs="Helv" w:ascii="Helv" w:hAnsi="Helv"/>
          <w:b/>
          <w:i/>
          <w:color w:val="000000"/>
          <w:lang w:eastAsia="en-US"/>
        </w:rPr>
        <w:t>Delivery Point:</w:t>
      </w:r>
      <w:r>
        <w:rPr>
          <w:rFonts w:cs="Helv" w:ascii="Helv" w:hAnsi="Helv"/>
          <w:color w:val="000000"/>
          <w:lang w:eastAsia="en-US"/>
        </w:rPr>
        <w:t xml:space="preserve"> The Standard Agreement doesn't address all the aspects that we usually cover on this topic, but it clearly does not contemplate that title to the energy will pass to the T&amp;D at the delivery point, because they really can't buy it.  EPMI will have complete risk all the way to the customer's meter, just like a retail deal.</w:t>
      </w:r>
    </w:p>
    <w:p>
      <w:pPr>
        <w:pStyle w:val="Normal"/>
        <w:numPr>
          <w:ilvl w:val="0"/>
          <w:numId w:val="8"/>
        </w:numPr>
        <w:jc w:val="both"/>
        <w:rPr>
          <w:b/>
        </w:rPr>
      </w:pPr>
      <w:r>
        <w:rPr>
          <w:rFonts w:cs="Helv" w:ascii="Helv" w:hAnsi="Helv"/>
          <w:b/>
          <w:i/>
          <w:color w:val="000000"/>
          <w:lang w:eastAsia="en-US"/>
        </w:rPr>
        <w:t>Damages/Termination:</w:t>
      </w:r>
      <w:r>
        <w:rPr>
          <w:rFonts w:cs="Helv" w:ascii="Helv" w:hAnsi="Helv"/>
          <w:color w:val="000000"/>
          <w:lang w:eastAsia="en-US"/>
        </w:rPr>
        <w:t xml:space="preserve"> Under the Standard Agreement, the T&amp;D company has no obligation to pay damages, even for a material breach of its obligations.  Although EPMI would have termination rights (for material breach and bankruptcy), the Standard Agreement gives EPMI no termination payments in the Enron sense.  Of course, the SOS Rule 301 doesn't mandate such payments from SOS customers, although there are some penalties (about 2 months of past billing) for switching for certain classes under certain circumstances.  In contrast, EPMI would bear the costs of replacement energy and ancillaries if EPMI defaults.  These features look like a retail deal.</w:t>
      </w:r>
    </w:p>
    <w:p>
      <w:pPr>
        <w:pStyle w:val="Normal"/>
        <w:jc w:val="both"/>
        <w:rPr>
          <w:b/>
        </w:rPr>
      </w:pPr>
      <w:r>
        <w:rPr>
          <w:b/>
        </w:rPr>
      </w:r>
    </w:p>
    <w:p>
      <w:pPr>
        <w:pStyle w:val="Normal"/>
        <w:jc w:val="both"/>
        <w:rPr>
          <w:b/>
        </w:rPr>
      </w:pPr>
      <w:r>
        <w:rPr>
          <w:b/>
        </w:rPr>
      </w:r>
    </w:p>
    <w:p>
      <w:pPr>
        <w:pStyle w:val="Normal"/>
        <w:jc w:val="both"/>
        <w:rPr>
          <w:b/>
        </w:rPr>
      </w:pPr>
      <w:r>
        <w:rPr>
          <w:b/>
        </w:rPr>
        <w:t>MIGRATION RISK</w:t>
      </w:r>
    </w:p>
    <w:p>
      <w:pPr>
        <w:pStyle w:val="Normal"/>
        <w:jc w:val="both"/>
        <w:rPr>
          <w:b/>
        </w:rPr>
      </w:pPr>
      <w:r>
        <w:rPr>
          <w:b/>
        </w:rPr>
      </w:r>
    </w:p>
    <w:p>
      <w:pPr>
        <w:pStyle w:val="Normal"/>
        <w:numPr>
          <w:ilvl w:val="0"/>
          <w:numId w:val="2"/>
        </w:numPr>
        <w:jc w:val="both"/>
        <w:rPr/>
      </w:pPr>
      <w:r>
        <w:rPr/>
        <w:t>Customers can leave and return to SOS</w:t>
      </w:r>
    </w:p>
    <w:p>
      <w:pPr>
        <w:pStyle w:val="Normal"/>
        <w:numPr>
          <w:ilvl w:val="0"/>
          <w:numId w:val="2"/>
        </w:numPr>
        <w:jc w:val="both"/>
        <w:rPr/>
      </w:pPr>
      <w:r>
        <w:rPr/>
        <w:t>Penalties put in place to deter “gaming” (i.e., frequent switching between SOS and competitive supply to take advantage of seasonal price disparities)</w:t>
      </w:r>
    </w:p>
    <w:p>
      <w:pPr>
        <w:pStyle w:val="Normal"/>
        <w:numPr>
          <w:ilvl w:val="0"/>
          <w:numId w:val="2"/>
        </w:numPr>
        <w:jc w:val="both"/>
        <w:rPr/>
      </w:pPr>
      <w:r>
        <w:rPr/>
        <w:t>Maine has seen a large amount of migration, particularly in the larger customer classes.  EES is one of the largest retail load aggregators in Maine.</w:t>
      </w:r>
    </w:p>
    <w:p>
      <w:pPr>
        <w:pStyle w:val="Normal"/>
        <w:jc w:val="both"/>
        <w:rPr/>
      </w:pPr>
      <w:r>
        <w:rPr/>
      </w:r>
    </w:p>
    <w:p>
      <w:pPr>
        <w:pStyle w:val="Normal"/>
        <w:jc w:val="both"/>
        <w:rPr/>
      </w:pPr>
      <w:r>
        <w:rPr/>
      </w:r>
    </w:p>
    <w:p>
      <w:pPr>
        <w:pStyle w:val="Heading1"/>
        <w:ind w:hanging="0" w:start="0"/>
        <w:rPr/>
      </w:pPr>
      <w:r>
        <w:rPr/>
        <w:t>CONGESTION UPLIFT RISK</w:t>
      </w:r>
    </w:p>
    <w:p>
      <w:pPr>
        <w:pStyle w:val="Normal"/>
        <w:jc w:val="both"/>
        <w:rPr/>
      </w:pPr>
      <w:r>
        <w:rPr/>
      </w:r>
    </w:p>
    <w:p>
      <w:pPr>
        <w:pStyle w:val="Normal"/>
        <w:numPr>
          <w:ilvl w:val="0"/>
          <w:numId w:val="7"/>
        </w:numPr>
        <w:jc w:val="both"/>
        <w:rPr/>
      </w:pPr>
      <w:r>
        <w:rPr/>
        <w:t>Maine is anticipated to become a supply pocket, due to the siting of new gas-fired CC facilities there (on top of run-of-river hydro and must-run IPPs already there), combined with relatively low load and limited transmission export capacity to load centers in other southerly parts of New England.</w:t>
      </w:r>
    </w:p>
    <w:p>
      <w:pPr>
        <w:pStyle w:val="Normal"/>
        <w:numPr>
          <w:ilvl w:val="0"/>
          <w:numId w:val="7"/>
        </w:numPr>
        <w:jc w:val="both"/>
        <w:rPr/>
      </w:pPr>
      <w:r>
        <w:rPr/>
        <w:t>Anticipated result is that under CMS/MSS, locational pricing in Maine should on average be lower than at the NEPOOL hub or other areas to the south.</w:t>
      </w:r>
    </w:p>
    <w:p>
      <w:pPr>
        <w:pStyle w:val="Normal"/>
        <w:numPr>
          <w:ilvl w:val="0"/>
          <w:numId w:val="7"/>
        </w:numPr>
        <w:jc w:val="both"/>
        <w:rPr/>
      </w:pPr>
      <w:r>
        <w:rPr/>
        <w:t>However, uncertainties involved with implementation of a complex CMS/MSS system make blind reliance on fundamentals risky (e.g., the New York experience).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2000-10-11T15:19:00Z</dcterms:created>
  <dc:creator>logistics</dc:creator>
  <dc:description/>
  <dc:language>en-CA</dc:language>
  <cp:lastModifiedBy>logistics</cp:lastModifiedBy>
  <cp:lastPrinted>2000-11-27T10:08:00Z</cp:lastPrinted>
  <dcterms:modified xsi:type="dcterms:W3CDTF">2000-11-27T13:49:00Z</dcterms:modified>
  <cp:revision>12</cp:revision>
  <dc:subject/>
  <dc:title>Summary of Western Mass Electric Standard Offer Transaction</dc:title>
</cp:coreProperties>
</file>