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0"/>
        <w:jc w:val="center"/>
        <w:rPr>
          <w:rFonts w:ascii="BernhardMod BT" w:hAnsi="BernhardMod BT" w:cs="BernhardMod BT"/>
          <w:b/>
          <w:i/>
          <w:i/>
          <w:sz w:val="30"/>
        </w:rPr>
      </w:pPr>
      <w:r>
        <w:rPr>
          <w:rFonts w:cs="BernhardMod BT" w:ascii="BernhardMod BT" w:hAnsi="BernhardMod BT"/>
          <w:b/>
          <w:i/>
          <w:sz w:val="30"/>
        </w:rPr>
        <w:t>Gas Accord II Settlement</w:t>
      </w:r>
    </w:p>
    <w:p>
      <w:pPr>
        <w:pStyle w:val="Normal"/>
        <w:spacing w:before="120" w:after="0"/>
        <w:jc w:val="center"/>
        <w:rPr>
          <w:rFonts w:ascii="Bookman Old Style" w:hAnsi="Bookman Old Style" w:cs="Bookman Old Style"/>
          <w:b/>
          <w:sz w:val="30"/>
        </w:rPr>
      </w:pPr>
      <w:bookmarkStart w:id="0" w:name="DocTitle"/>
      <w:r>
        <w:rPr>
          <w:rFonts w:cs="Bookman Old Style" w:ascii="Bookman Old Style" w:hAnsi="Bookman Old Style"/>
          <w:b/>
          <w:sz w:val="30"/>
        </w:rPr>
        <w:t>Issues For Gas Accord II</w:t>
      </w:r>
      <w:bookmarkEnd w:id="0"/>
    </w:p>
    <w:p>
      <w:pPr>
        <w:pStyle w:val="Normal"/>
        <w:jc w:val="center"/>
        <w:rPr>
          <w:rFonts w:ascii="Bookman Old Style" w:hAnsi="Bookman Old Style" w:cs="Bookman Old Style"/>
          <w:b/>
          <w:sz w:val="26"/>
        </w:rPr>
      </w:pPr>
      <w:bookmarkStart w:id="1" w:name="DocDate"/>
      <w:r>
        <w:rPr>
          <w:rFonts w:cs="Bookman Old Style" w:ascii="Bookman Old Style" w:hAnsi="Bookman Old Style"/>
          <w:b/>
          <w:sz w:val="26"/>
        </w:rPr>
        <w:t>November 27, 2000</w:t>
      </w:r>
      <w:bookmarkEnd w:id="1"/>
    </w:p>
    <w:p>
      <w:pPr>
        <w:pStyle w:val="Normal"/>
        <w:rPr>
          <w:rFonts w:ascii="Bookman Old Style" w:hAnsi="Bookman Old Style" w:cs="Bookman Old Style"/>
          <w:b/>
          <w:sz w:val="26"/>
        </w:rPr>
      </w:pPr>
      <w:r>
        <w:rPr>
          <w:rFonts w:cs="Bookman Old Style" w:ascii="Bookman Old Style" w:hAnsi="Bookman Old Style"/>
          <w:b/>
          <w:sz w:val="26"/>
        </w:rPr>
      </w:r>
    </w:p>
    <w:p>
      <w:pPr>
        <w:pStyle w:val="Normal"/>
        <w:numPr>
          <w:ilvl w:val="0"/>
          <w:numId w:val="5"/>
        </w:numPr>
        <w:rPr>
          <w:b/>
          <w:sz w:val="26"/>
        </w:rPr>
      </w:pPr>
      <w:r>
        <w:rPr>
          <w:b/>
          <w:sz w:val="26"/>
        </w:rPr>
        <w:t>Comprehensive OII Settlement</w:t>
      </w:r>
    </w:p>
    <w:p>
      <w:pPr>
        <w:pStyle w:val="Normal"/>
        <w:numPr>
          <w:ilvl w:val="1"/>
          <w:numId w:val="5"/>
        </w:numPr>
        <w:tabs>
          <w:tab w:val="clear" w:pos="432"/>
          <w:tab w:val="left" w:pos="360" w:leader="none"/>
          <w:tab w:val="left" w:pos="990" w:leader="none"/>
        </w:tabs>
        <w:rPr>
          <w:sz w:val="26"/>
        </w:rPr>
      </w:pPr>
      <w:r>
        <w:rPr>
          <w:sz w:val="26"/>
        </w:rPr>
        <w:t>Develop Clear Procedures for Allocating Firm Capacity (§4.1), e.g. open-season procedures.</w:t>
      </w:r>
    </w:p>
    <w:p>
      <w:pPr>
        <w:pStyle w:val="Normal"/>
        <w:numPr>
          <w:ilvl w:val="1"/>
          <w:numId w:val="5"/>
        </w:numPr>
        <w:tabs>
          <w:tab w:val="clear" w:pos="432"/>
          <w:tab w:val="left" w:pos="360" w:leader="none"/>
          <w:tab w:val="left" w:pos="990" w:leader="none"/>
        </w:tabs>
        <w:rPr>
          <w:sz w:val="26"/>
        </w:rPr>
      </w:pPr>
      <w:r>
        <w:rPr>
          <w:sz w:val="26"/>
        </w:rPr>
        <w:t>Transmission Interconnection Policy, Terms and Conditions (§4.2), i.e. PG&amp;E’s proposed Gas Rule 27.</w:t>
      </w:r>
    </w:p>
    <w:p>
      <w:pPr>
        <w:pStyle w:val="Normal"/>
        <w:numPr>
          <w:ilvl w:val="1"/>
          <w:numId w:val="5"/>
        </w:numPr>
        <w:tabs>
          <w:tab w:val="clear" w:pos="432"/>
          <w:tab w:val="left" w:pos="360" w:leader="none"/>
          <w:tab w:val="left" w:pos="990" w:leader="none"/>
        </w:tabs>
        <w:rPr>
          <w:sz w:val="26"/>
        </w:rPr>
      </w:pPr>
      <w:r>
        <w:rPr>
          <w:sz w:val="26"/>
        </w:rPr>
        <w:t>Local Transmission Reliability, Design Standards and Curtailment Provisions (§4.4).</w:t>
      </w:r>
    </w:p>
    <w:p>
      <w:pPr>
        <w:pStyle w:val="Normal"/>
        <w:numPr>
          <w:ilvl w:val="1"/>
          <w:numId w:val="5"/>
        </w:numPr>
        <w:tabs>
          <w:tab w:val="clear" w:pos="432"/>
          <w:tab w:val="left" w:pos="360" w:leader="none"/>
          <w:tab w:val="left" w:pos="990" w:leader="none"/>
        </w:tabs>
        <w:rPr>
          <w:sz w:val="26"/>
        </w:rPr>
      </w:pPr>
      <w:r>
        <w:rPr>
          <w:sz w:val="26"/>
        </w:rPr>
        <w:t>Mechanisms to Reduce Costs to Noncore Customers Connecting To or Close To PG&amp;E's Backbone Transmission Facilities (§4.5), including "Direct Connect" issues.</w:t>
      </w:r>
    </w:p>
    <w:p>
      <w:pPr>
        <w:pStyle w:val="Normal"/>
        <w:numPr>
          <w:ilvl w:val="1"/>
          <w:numId w:val="5"/>
        </w:numPr>
        <w:tabs>
          <w:tab w:val="clear" w:pos="432"/>
          <w:tab w:val="left" w:pos="360" w:leader="none"/>
          <w:tab w:val="left" w:pos="990" w:leader="none"/>
        </w:tabs>
        <w:rPr>
          <w:sz w:val="26"/>
        </w:rPr>
      </w:pPr>
      <w:r>
        <w:rPr>
          <w:sz w:val="26"/>
        </w:rPr>
        <w:t>Costs and Rates for Utility Core Procurement Services (§2.6), including cost allocations and brokerage fee.</w:t>
      </w:r>
    </w:p>
    <w:p>
      <w:pPr>
        <w:pStyle w:val="Normal"/>
        <w:keepNext w:val="true"/>
        <w:numPr>
          <w:ilvl w:val="0"/>
          <w:numId w:val="5"/>
        </w:numPr>
        <w:spacing w:before="240" w:after="0"/>
        <w:rPr>
          <w:b/>
          <w:sz w:val="26"/>
        </w:rPr>
      </w:pPr>
      <w:r>
        <w:rPr>
          <w:b/>
          <w:sz w:val="26"/>
        </w:rPr>
        <w:t>OFO Settlement and Forum</w:t>
      </w:r>
    </w:p>
    <w:p>
      <w:pPr>
        <w:pStyle w:val="Normal"/>
        <w:numPr>
          <w:ilvl w:val="1"/>
          <w:numId w:val="5"/>
        </w:numPr>
        <w:rPr>
          <w:sz w:val="26"/>
        </w:rPr>
      </w:pPr>
      <w:r>
        <w:rPr>
          <w:sz w:val="26"/>
        </w:rPr>
        <w:t xml:space="preserve">Adding more storage to support balancing </w:t>
      </w:r>
    </w:p>
    <w:p>
      <w:pPr>
        <w:pStyle w:val="Normal"/>
        <w:keepNext w:val="true"/>
        <w:numPr>
          <w:ilvl w:val="0"/>
          <w:numId w:val="5"/>
        </w:numPr>
        <w:spacing w:before="240" w:after="0"/>
        <w:rPr>
          <w:b/>
          <w:sz w:val="26"/>
        </w:rPr>
      </w:pPr>
      <w:r>
        <w:rPr>
          <w:b/>
          <w:sz w:val="26"/>
        </w:rPr>
        <w:t>City of Palo Alto</w:t>
      </w:r>
      <w:r>
        <w:rPr>
          <w:sz w:val="26"/>
        </w:rPr>
        <w:t xml:space="preserve">  (Raveen Maan, Ron Oechsler)</w:t>
      </w:r>
    </w:p>
    <w:p>
      <w:pPr>
        <w:pStyle w:val="Normal"/>
        <w:numPr>
          <w:ilvl w:val="1"/>
          <w:numId w:val="5"/>
        </w:numPr>
        <w:rPr>
          <w:sz w:val="26"/>
        </w:rPr>
      </w:pPr>
      <w:r>
        <w:rPr>
          <w:sz w:val="26"/>
        </w:rPr>
        <w:t>Provide complete data on cost structure early in process.</w:t>
      </w:r>
    </w:p>
    <w:p>
      <w:pPr>
        <w:pStyle w:val="Normal"/>
        <w:numPr>
          <w:ilvl w:val="1"/>
          <w:numId w:val="5"/>
        </w:numPr>
        <w:rPr>
          <w:sz w:val="26"/>
        </w:rPr>
      </w:pPr>
      <w:r>
        <w:rPr>
          <w:sz w:val="26"/>
        </w:rPr>
        <w:t>Preserve the benefits received by core customers, including wholesale, in the Gas Accord.</w:t>
      </w:r>
    </w:p>
    <w:p>
      <w:pPr>
        <w:pStyle w:val="Normal"/>
        <w:numPr>
          <w:ilvl w:val="1"/>
          <w:numId w:val="5"/>
        </w:numPr>
        <w:rPr>
          <w:sz w:val="26"/>
        </w:rPr>
      </w:pPr>
      <w:r>
        <w:rPr>
          <w:sz w:val="26"/>
        </w:rPr>
        <w:t>Consider limits on the amount of firm capacity which can be held by any party.</w:t>
      </w:r>
    </w:p>
    <w:p>
      <w:pPr>
        <w:pStyle w:val="Normal"/>
        <w:numPr>
          <w:ilvl w:val="1"/>
          <w:numId w:val="5"/>
        </w:numPr>
        <w:rPr>
          <w:sz w:val="26"/>
        </w:rPr>
      </w:pPr>
      <w:r>
        <w:rPr>
          <w:sz w:val="26"/>
        </w:rPr>
        <w:t>Consider segmenting capacity into blocks by term, e.g. annual and multi-year blocks.</w:t>
      </w:r>
    </w:p>
    <w:p>
      <w:pPr>
        <w:pStyle w:val="Normal"/>
        <w:numPr>
          <w:ilvl w:val="1"/>
          <w:numId w:val="5"/>
        </w:numPr>
        <w:rPr>
          <w:sz w:val="26"/>
        </w:rPr>
      </w:pPr>
      <w:r>
        <w:rPr>
          <w:sz w:val="26"/>
        </w:rPr>
        <w:t>Reliability of local transmission system, especially given the potential for new generating capacity in the greater SF Bay Area.</w:t>
      </w:r>
    </w:p>
    <w:p>
      <w:pPr>
        <w:pStyle w:val="Normal"/>
        <w:numPr>
          <w:ilvl w:val="1"/>
          <w:numId w:val="5"/>
        </w:numPr>
        <w:rPr>
          <w:sz w:val="26"/>
        </w:rPr>
      </w:pPr>
      <w:r>
        <w:rPr>
          <w:sz w:val="26"/>
        </w:rPr>
        <w:t>Provide data on projected gas flows and transmission capacity utilization.</w:t>
      </w:r>
    </w:p>
    <w:p>
      <w:pPr>
        <w:pStyle w:val="Normal"/>
        <w:numPr>
          <w:ilvl w:val="1"/>
          <w:numId w:val="5"/>
        </w:numPr>
        <w:rPr>
          <w:sz w:val="26"/>
        </w:rPr>
      </w:pPr>
      <w:r>
        <w:rPr>
          <w:sz w:val="26"/>
        </w:rPr>
        <w:t>Incorporate information reporting requirements adopted in FERC Order 637 to help provide transparency of information as a protection against market power.</w:t>
      </w:r>
    </w:p>
    <w:p>
      <w:pPr>
        <w:pStyle w:val="Normal"/>
        <w:keepNext w:val="true"/>
        <w:numPr>
          <w:ilvl w:val="0"/>
          <w:numId w:val="5"/>
        </w:numPr>
        <w:spacing w:before="240" w:after="0"/>
        <w:rPr>
          <w:b/>
          <w:sz w:val="26"/>
        </w:rPr>
      </w:pPr>
      <w:r>
        <w:rPr>
          <w:b/>
          <w:sz w:val="26"/>
        </w:rPr>
        <w:t>TURN</w:t>
      </w:r>
      <w:r>
        <w:rPr>
          <w:sz w:val="26"/>
        </w:rPr>
        <w:t xml:space="preserve">  (Mike Florio, Marcel Hawiger)</w:t>
      </w:r>
    </w:p>
    <w:p>
      <w:pPr>
        <w:pStyle w:val="Normal"/>
        <w:numPr>
          <w:ilvl w:val="1"/>
          <w:numId w:val="5"/>
        </w:numPr>
        <w:rPr>
          <w:sz w:val="26"/>
        </w:rPr>
      </w:pPr>
      <w:r>
        <w:rPr>
          <w:sz w:val="26"/>
        </w:rPr>
        <w:t>A prerequisite for these discussions is maintaining vintage Line 400 rates for core customers.</w:t>
      </w:r>
    </w:p>
    <w:p>
      <w:pPr>
        <w:pStyle w:val="Normal"/>
        <w:keepNext w:val="true"/>
        <w:numPr>
          <w:ilvl w:val="0"/>
          <w:numId w:val="5"/>
        </w:numPr>
        <w:spacing w:before="240" w:after="0"/>
        <w:rPr>
          <w:b/>
          <w:sz w:val="26"/>
        </w:rPr>
      </w:pPr>
      <w:r>
        <w:rPr>
          <w:b/>
          <w:sz w:val="26"/>
        </w:rPr>
        <w:t xml:space="preserve">Shell Energy Services  </w:t>
      </w:r>
      <w:r>
        <w:rPr>
          <w:sz w:val="26"/>
        </w:rPr>
        <w:t>(John Leslie)</w:t>
      </w:r>
    </w:p>
    <w:p>
      <w:pPr>
        <w:pStyle w:val="Normal"/>
        <w:keepNext w:val="true"/>
        <w:numPr>
          <w:ilvl w:val="1"/>
          <w:numId w:val="5"/>
        </w:numPr>
        <w:rPr>
          <w:sz w:val="26"/>
        </w:rPr>
      </w:pPr>
      <w:r>
        <w:rPr>
          <w:sz w:val="26"/>
        </w:rPr>
        <w:t>Full unbundling of storage for core aggregation customers;</w:t>
      </w:r>
    </w:p>
    <w:p>
      <w:pPr>
        <w:pStyle w:val="Normal"/>
        <w:numPr>
          <w:ilvl w:val="1"/>
          <w:numId w:val="5"/>
        </w:numPr>
        <w:rPr>
          <w:sz w:val="26"/>
        </w:rPr>
      </w:pPr>
      <w:r>
        <w:rPr>
          <w:sz w:val="26"/>
        </w:rPr>
        <w:t xml:space="preserve">Continued (and more liberalized) unbundling of interstate capacity, backbone transmission and balancing services for core aggregation customers; </w:t>
      </w:r>
    </w:p>
    <w:p>
      <w:pPr>
        <w:pStyle w:val="Normal"/>
        <w:numPr>
          <w:ilvl w:val="1"/>
          <w:numId w:val="5"/>
        </w:numPr>
        <w:rPr>
          <w:sz w:val="26"/>
        </w:rPr>
      </w:pPr>
      <w:r>
        <w:rPr>
          <w:sz w:val="26"/>
        </w:rPr>
        <w:t>Renegotiate the core brokerage fee to reflect all procurement-related fixed (and variable) costs;</w:t>
      </w:r>
    </w:p>
    <w:p>
      <w:pPr>
        <w:pStyle w:val="Normal"/>
        <w:numPr>
          <w:ilvl w:val="1"/>
          <w:numId w:val="5"/>
        </w:numPr>
        <w:rPr>
          <w:sz w:val="26"/>
        </w:rPr>
      </w:pPr>
      <w:r>
        <w:rPr>
          <w:sz w:val="26"/>
        </w:rPr>
        <w:t>Negotiate more permanent billing credits for core aggregators that perform consolidated billing services;</w:t>
      </w:r>
    </w:p>
    <w:p>
      <w:pPr>
        <w:pStyle w:val="Normal"/>
        <w:numPr>
          <w:ilvl w:val="1"/>
          <w:numId w:val="5"/>
        </w:numPr>
        <w:rPr>
          <w:sz w:val="26"/>
        </w:rPr>
      </w:pPr>
      <w:r>
        <w:rPr>
          <w:sz w:val="26"/>
        </w:rPr>
        <w:t>Negotiate the charges for PG&amp;E consolidated billing, including consideration of whether PG&amp;E may transition away from the billing function;</w:t>
      </w:r>
    </w:p>
    <w:p>
      <w:pPr>
        <w:pStyle w:val="Normal"/>
        <w:numPr>
          <w:ilvl w:val="1"/>
          <w:numId w:val="5"/>
        </w:numPr>
        <w:rPr>
          <w:sz w:val="26"/>
        </w:rPr>
      </w:pPr>
      <w:r>
        <w:rPr>
          <w:sz w:val="26"/>
        </w:rPr>
        <w:t>Consider the future role of the utility in core procurement, including the possibility of transitioning away from PG&amp;E performing the default supplier role; and</w:t>
      </w:r>
    </w:p>
    <w:p>
      <w:pPr>
        <w:pStyle w:val="Normal"/>
        <w:numPr>
          <w:ilvl w:val="1"/>
          <w:numId w:val="5"/>
        </w:numPr>
        <w:rPr>
          <w:sz w:val="26"/>
        </w:rPr>
      </w:pPr>
      <w:r>
        <w:rPr>
          <w:sz w:val="26"/>
        </w:rPr>
        <w:t>PG&amp;E commitment to a substantial core customer education effort concerning gas supply options.</w:t>
      </w:r>
    </w:p>
    <w:p>
      <w:pPr>
        <w:pStyle w:val="Normal"/>
        <w:keepNext w:val="true"/>
        <w:numPr>
          <w:ilvl w:val="0"/>
          <w:numId w:val="5"/>
        </w:numPr>
        <w:spacing w:before="240" w:after="0"/>
        <w:rPr>
          <w:b/>
          <w:sz w:val="26"/>
        </w:rPr>
      </w:pPr>
      <w:r>
        <w:rPr>
          <w:b/>
          <w:sz w:val="26"/>
        </w:rPr>
        <w:t>California Generation Coalition [CGC]</w:t>
      </w:r>
      <w:r>
        <w:rPr>
          <w:sz w:val="26"/>
        </w:rPr>
        <w:t xml:space="preserve">  (Norman Pedersen)</w:t>
      </w:r>
    </w:p>
    <w:p>
      <w:pPr>
        <w:pStyle w:val="Normal"/>
        <w:numPr>
          <w:ilvl w:val="1"/>
          <w:numId w:val="5"/>
        </w:numPr>
        <w:rPr>
          <w:sz w:val="26"/>
        </w:rPr>
      </w:pPr>
      <w:r>
        <w:rPr>
          <w:sz w:val="26"/>
        </w:rPr>
        <w:t>Discussion should go beyond a mere roll-over of the Gas Accord.  Consider alternative structures, including more traditional structures like postage-stamp rates.</w:t>
      </w:r>
    </w:p>
    <w:p>
      <w:pPr>
        <w:pStyle w:val="Normal"/>
        <w:numPr>
          <w:ilvl w:val="1"/>
          <w:numId w:val="5"/>
        </w:numPr>
        <w:rPr>
          <w:sz w:val="26"/>
        </w:rPr>
      </w:pPr>
      <w:r>
        <w:rPr>
          <w:sz w:val="26"/>
        </w:rPr>
        <w:t>Parity of state rules with FERC Order 637.</w:t>
      </w:r>
    </w:p>
    <w:p>
      <w:pPr>
        <w:pStyle w:val="Normal"/>
        <w:keepNext w:val="true"/>
        <w:numPr>
          <w:ilvl w:val="0"/>
          <w:numId w:val="5"/>
        </w:numPr>
        <w:spacing w:before="240" w:after="0"/>
        <w:rPr>
          <w:b/>
          <w:sz w:val="26"/>
        </w:rPr>
      </w:pPr>
      <w:r>
        <w:rPr>
          <w:b/>
          <w:sz w:val="26"/>
        </w:rPr>
        <w:t xml:space="preserve">City of Redding  </w:t>
      </w:r>
      <w:r>
        <w:rPr>
          <w:sz w:val="26"/>
        </w:rPr>
        <w:t>(Bryan Cope)</w:t>
      </w:r>
    </w:p>
    <w:p>
      <w:pPr>
        <w:pStyle w:val="Normal"/>
        <w:numPr>
          <w:ilvl w:val="1"/>
          <w:numId w:val="5"/>
        </w:numPr>
        <w:rPr>
          <w:sz w:val="26"/>
        </w:rPr>
      </w:pPr>
      <w:r>
        <w:rPr>
          <w:sz w:val="26"/>
        </w:rPr>
        <w:t>Supports CGC concepts, including consideration of a return to postage stamp rates, at least for those who might want such service.</w:t>
      </w:r>
    </w:p>
    <w:p>
      <w:pPr>
        <w:pStyle w:val="Normal"/>
        <w:numPr>
          <w:ilvl w:val="1"/>
          <w:numId w:val="5"/>
        </w:numPr>
        <w:rPr>
          <w:sz w:val="26"/>
        </w:rPr>
      </w:pPr>
      <w:r>
        <w:rPr>
          <w:sz w:val="26"/>
        </w:rPr>
        <w:t>Support further study and consideration of devoting additional resources to system storage services.</w:t>
      </w:r>
    </w:p>
    <w:p>
      <w:pPr>
        <w:pStyle w:val="Normal"/>
        <w:numPr>
          <w:ilvl w:val="1"/>
          <w:numId w:val="5"/>
        </w:numPr>
        <w:rPr>
          <w:sz w:val="26"/>
        </w:rPr>
      </w:pPr>
      <w:r>
        <w:rPr>
          <w:sz w:val="26"/>
        </w:rPr>
        <w:t>Concern over additional costs end-users may be incurring due to unnecessary market instability.</w:t>
      </w:r>
    </w:p>
    <w:p>
      <w:pPr>
        <w:pStyle w:val="Normal"/>
        <w:keepNext w:val="true"/>
        <w:numPr>
          <w:ilvl w:val="0"/>
          <w:numId w:val="5"/>
        </w:numPr>
        <w:spacing w:before="240" w:after="0"/>
        <w:rPr>
          <w:b/>
          <w:sz w:val="26"/>
        </w:rPr>
      </w:pPr>
      <w:r>
        <w:rPr>
          <w:b/>
          <w:sz w:val="26"/>
        </w:rPr>
        <w:t>California Cogeneration Council [CCC]</w:t>
      </w:r>
      <w:r>
        <w:rPr>
          <w:sz w:val="26"/>
        </w:rPr>
        <w:t xml:space="preserve">  (Joe Karp)</w:t>
      </w:r>
    </w:p>
    <w:p>
      <w:pPr>
        <w:pStyle w:val="Normal"/>
        <w:ind w:start="432" w:end="0"/>
        <w:rPr>
          <w:sz w:val="26"/>
        </w:rPr>
      </w:pPr>
      <w:r>
        <w:rPr>
          <w:sz w:val="26"/>
        </w:rPr>
        <w:t>In addition to other OII Settlement and OFO Forum issues:</w:t>
      </w:r>
    </w:p>
    <w:p>
      <w:pPr>
        <w:pStyle w:val="Normal"/>
        <w:numPr>
          <w:ilvl w:val="1"/>
          <w:numId w:val="5"/>
        </w:numPr>
        <w:rPr>
          <w:sz w:val="26"/>
        </w:rPr>
      </w:pPr>
      <w:r>
        <w:rPr>
          <w:sz w:val="26"/>
        </w:rPr>
        <w:t xml:space="preserve">Single electric generator (EG) customer class.  </w:t>
      </w:r>
    </w:p>
    <w:p>
      <w:pPr>
        <w:pStyle w:val="Normal"/>
        <w:numPr>
          <w:ilvl w:val="1"/>
          <w:numId w:val="5"/>
        </w:numPr>
        <w:rPr>
          <w:sz w:val="26"/>
        </w:rPr>
      </w:pPr>
      <w:r>
        <w:rPr>
          <w:sz w:val="26"/>
        </w:rPr>
        <w:t>Cogeneration Gas Allowance.</w:t>
      </w:r>
    </w:p>
    <w:p>
      <w:pPr>
        <w:pStyle w:val="Normal"/>
        <w:numPr>
          <w:ilvl w:val="1"/>
          <w:numId w:val="5"/>
        </w:numPr>
        <w:rPr>
          <w:sz w:val="26"/>
        </w:rPr>
      </w:pPr>
      <w:r>
        <w:rPr>
          <w:sz w:val="26"/>
        </w:rPr>
        <w:t>Collateral discount Rule.</w:t>
      </w:r>
    </w:p>
    <w:p>
      <w:pPr>
        <w:pStyle w:val="Normal"/>
        <w:numPr>
          <w:ilvl w:val="1"/>
          <w:numId w:val="5"/>
        </w:numPr>
        <w:rPr>
          <w:sz w:val="26"/>
        </w:rPr>
      </w:pPr>
      <w:r>
        <w:rPr>
          <w:sz w:val="26"/>
        </w:rPr>
        <w:t>Single EG class segmentation.</w:t>
      </w:r>
    </w:p>
    <w:p>
      <w:pPr>
        <w:pStyle w:val="Normal"/>
        <w:numPr>
          <w:ilvl w:val="1"/>
          <w:numId w:val="5"/>
        </w:numPr>
        <w:rPr>
          <w:sz w:val="26"/>
        </w:rPr>
      </w:pPr>
      <w:r>
        <w:rPr>
          <w:sz w:val="26"/>
        </w:rPr>
        <w:t>Notice of electric generator transmission capacity elections.</w:t>
      </w:r>
    </w:p>
    <w:p>
      <w:pPr>
        <w:pStyle w:val="Normal"/>
        <w:keepNext w:val="true"/>
        <w:numPr>
          <w:ilvl w:val="0"/>
          <w:numId w:val="5"/>
        </w:numPr>
        <w:spacing w:before="240" w:after="0"/>
        <w:rPr>
          <w:b/>
          <w:sz w:val="26"/>
        </w:rPr>
      </w:pPr>
      <w:r>
        <w:rPr>
          <w:b/>
          <w:sz w:val="26"/>
        </w:rPr>
        <w:t>Southern Energy California</w:t>
      </w:r>
      <w:r>
        <w:rPr>
          <w:sz w:val="26"/>
        </w:rPr>
        <w:t xml:space="preserve">  (Steve Huhman)</w:t>
      </w:r>
    </w:p>
    <w:p>
      <w:pPr>
        <w:pStyle w:val="Normal"/>
        <w:numPr>
          <w:ilvl w:val="1"/>
          <w:numId w:val="5"/>
        </w:numPr>
        <w:rPr>
          <w:sz w:val="26"/>
        </w:rPr>
      </w:pPr>
      <w:r>
        <w:rPr>
          <w:sz w:val="26"/>
        </w:rPr>
        <w:t xml:space="preserve">Existing FT holders should be able to renew 100% of their current capacity by agreeing to pay the Maximum Tariff Rate, giving end users the certainty needed to make long-term arrangements for supply and transportation OUTSIDE the state, knowing that their supply will make it from the border to the consumption point. </w:t>
      </w:r>
    </w:p>
    <w:p>
      <w:pPr>
        <w:pStyle w:val="Normal"/>
        <w:numPr>
          <w:ilvl w:val="1"/>
          <w:numId w:val="5"/>
        </w:numPr>
        <w:rPr>
          <w:sz w:val="26"/>
        </w:rPr>
      </w:pPr>
      <w:r>
        <w:rPr>
          <w:sz w:val="26"/>
        </w:rPr>
        <w:t>Unbundling should be completed by making it possible to pay the backbone-only rate for load connected to the backbone.</w:t>
      </w:r>
    </w:p>
    <w:p>
      <w:pPr>
        <w:pStyle w:val="Normal"/>
        <w:numPr>
          <w:ilvl w:val="1"/>
          <w:numId w:val="5"/>
        </w:numPr>
        <w:rPr>
          <w:sz w:val="26"/>
        </w:rPr>
      </w:pPr>
      <w:r>
        <w:rPr>
          <w:sz w:val="26"/>
        </w:rPr>
        <w:t>The Redwood path should have a single rate, eliminating preferential prices for some customers over others.</w:t>
      </w:r>
    </w:p>
    <w:p>
      <w:pPr>
        <w:pStyle w:val="Normal"/>
        <w:numPr>
          <w:ilvl w:val="1"/>
          <w:numId w:val="5"/>
        </w:numPr>
        <w:rPr>
          <w:sz w:val="26"/>
        </w:rPr>
      </w:pPr>
      <w:r>
        <w:rPr>
          <w:sz w:val="26"/>
        </w:rPr>
        <w:t>Posting of after-the-fact consumption statistics by Customer Class should be eliminated for those classes (Electric Generators) that consist of a very few, large volume members.  The current practice makes competitors transactions too transparent, and therefore does not adequately protect confidential business information.</w:t>
      </w:r>
    </w:p>
    <w:p>
      <w:pPr>
        <w:pStyle w:val="Normal"/>
        <w:numPr>
          <w:ilvl w:val="1"/>
          <w:numId w:val="5"/>
        </w:numPr>
        <w:rPr>
          <w:sz w:val="26"/>
        </w:rPr>
      </w:pPr>
      <w:r>
        <w:rPr>
          <w:sz w:val="26"/>
        </w:rPr>
        <w:t>There are issues which are presumably being addressed in the OFO forum process.  However, if satisfactory progress is not made in that venue, Southern may wish to address those issues in the Gas Accord II discussion.</w:t>
      </w:r>
    </w:p>
    <w:p>
      <w:pPr>
        <w:pStyle w:val="Normal"/>
        <w:numPr>
          <w:ilvl w:val="1"/>
          <w:numId w:val="5"/>
        </w:numPr>
        <w:rPr>
          <w:sz w:val="26"/>
        </w:rPr>
      </w:pPr>
      <w:r>
        <w:rPr>
          <w:sz w:val="26"/>
        </w:rPr>
        <w:t>We are currently evaluating the Information Requirement issues and proposals, and may develop additional issues related to this topic.</w:t>
      </w:r>
    </w:p>
    <w:p>
      <w:pPr>
        <w:pStyle w:val="Normal"/>
        <w:keepNext w:val="true"/>
        <w:numPr>
          <w:ilvl w:val="0"/>
          <w:numId w:val="5"/>
        </w:numPr>
        <w:spacing w:before="240" w:after="0"/>
        <w:rPr>
          <w:b/>
          <w:sz w:val="26"/>
        </w:rPr>
      </w:pPr>
      <w:r>
        <w:rPr>
          <w:b/>
          <w:sz w:val="26"/>
        </w:rPr>
        <w:t>Canadian Association of Petroleum Producers</w:t>
      </w:r>
      <w:r>
        <w:rPr>
          <w:sz w:val="26"/>
        </w:rPr>
        <w:t xml:space="preserve"> </w:t>
      </w:r>
      <w:r>
        <w:rPr>
          <w:b/>
          <w:sz w:val="26"/>
        </w:rPr>
        <w:t>[CAPP]</w:t>
      </w:r>
      <w:r>
        <w:rPr>
          <w:sz w:val="26"/>
        </w:rPr>
        <w:t xml:space="preserve">  (Greg Stringham)</w:t>
      </w:r>
    </w:p>
    <w:p>
      <w:pPr>
        <w:pStyle w:val="Normal"/>
        <w:numPr>
          <w:ilvl w:val="1"/>
          <w:numId w:val="5"/>
        </w:numPr>
        <w:rPr>
          <w:sz w:val="26"/>
        </w:rPr>
      </w:pPr>
      <w:r>
        <w:rPr>
          <w:sz w:val="26"/>
        </w:rPr>
        <w:t>Consider updating the path specific rates on the transmission paths taking into account the actual throughputs experienced on the various paths</w:t>
      </w:r>
    </w:p>
    <w:p>
      <w:pPr>
        <w:pStyle w:val="Normal"/>
        <w:numPr>
          <w:ilvl w:val="1"/>
          <w:numId w:val="5"/>
        </w:numPr>
        <w:rPr>
          <w:sz w:val="26"/>
        </w:rPr>
      </w:pPr>
      <w:r>
        <w:rPr>
          <w:sz w:val="26"/>
        </w:rPr>
        <w:t>To complete the roll-in of cost for all transmission facilities in order to establish a level playing field for core aggregators competing with PG&amp;E’s core procurement</w:t>
      </w:r>
    </w:p>
    <w:p>
      <w:pPr>
        <w:pStyle w:val="Normal"/>
        <w:ind w:start="432" w:end="0"/>
        <w:rPr>
          <w:sz w:val="26"/>
        </w:rPr>
      </w:pPr>
      <w:r>
        <w:rPr>
          <w:sz w:val="26"/>
        </w:rPr>
        <w:t>(In addition to other OII Settlement and OFO Forum issues.)</w:t>
      </w:r>
    </w:p>
    <w:p>
      <w:pPr>
        <w:pStyle w:val="Normal"/>
        <w:keepNext w:val="true"/>
        <w:numPr>
          <w:ilvl w:val="0"/>
          <w:numId w:val="5"/>
        </w:numPr>
        <w:spacing w:before="240" w:after="0"/>
        <w:rPr>
          <w:b/>
          <w:sz w:val="26"/>
        </w:rPr>
      </w:pPr>
      <w:r>
        <w:rPr>
          <w:b/>
          <w:sz w:val="26"/>
        </w:rPr>
        <w:t xml:space="preserve">Suncor, Inc.  </w:t>
      </w:r>
      <w:r>
        <w:rPr>
          <w:sz w:val="26"/>
        </w:rPr>
        <w:t>(John Leslie)</w:t>
      </w:r>
    </w:p>
    <w:p>
      <w:pPr>
        <w:pStyle w:val="Normal"/>
        <w:numPr>
          <w:ilvl w:val="1"/>
          <w:numId w:val="5"/>
        </w:numPr>
        <w:rPr>
          <w:sz w:val="26"/>
        </w:rPr>
      </w:pPr>
      <w:r>
        <w:rPr>
          <w:sz w:val="26"/>
        </w:rPr>
        <w:t>Backbone transmission</w:t>
      </w:r>
    </w:p>
    <w:p>
      <w:pPr>
        <w:pStyle w:val="Normal"/>
        <w:numPr>
          <w:ilvl w:val="2"/>
          <w:numId w:val="5"/>
        </w:numPr>
        <w:rPr>
          <w:sz w:val="26"/>
        </w:rPr>
      </w:pPr>
      <w:r>
        <w:rPr>
          <w:sz w:val="26"/>
        </w:rPr>
        <w:t>Cost allocation issues</w:t>
      </w:r>
    </w:p>
    <w:p>
      <w:pPr>
        <w:pStyle w:val="Normal"/>
        <w:numPr>
          <w:ilvl w:val="3"/>
          <w:numId w:val="5"/>
        </w:numPr>
        <w:tabs>
          <w:tab w:val="clear" w:pos="432"/>
        </w:tabs>
        <w:rPr>
          <w:sz w:val="26"/>
        </w:rPr>
      </w:pPr>
      <w:r>
        <w:rPr>
          <w:sz w:val="26"/>
        </w:rPr>
        <w:t>Cost of service for each backbone path</w:t>
      </w:r>
    </w:p>
    <w:p>
      <w:pPr>
        <w:pStyle w:val="Normal"/>
        <w:numPr>
          <w:ilvl w:val="3"/>
          <w:numId w:val="5"/>
        </w:numPr>
        <w:tabs>
          <w:tab w:val="clear" w:pos="432"/>
        </w:tabs>
        <w:rPr>
          <w:sz w:val="26"/>
        </w:rPr>
      </w:pPr>
      <w:r>
        <w:rPr>
          <w:sz w:val="26"/>
        </w:rPr>
        <w:t>Allocation of costs between backbone and local transmission</w:t>
      </w:r>
    </w:p>
    <w:p>
      <w:pPr>
        <w:pStyle w:val="Normal"/>
        <w:numPr>
          <w:ilvl w:val="3"/>
          <w:numId w:val="5"/>
        </w:numPr>
        <w:tabs>
          <w:tab w:val="clear" w:pos="432"/>
        </w:tabs>
        <w:rPr>
          <w:sz w:val="26"/>
        </w:rPr>
      </w:pPr>
      <w:r>
        <w:rPr>
          <w:sz w:val="26"/>
        </w:rPr>
        <w:t>Allocation of costs between and among backbone paths</w:t>
      </w:r>
    </w:p>
    <w:p>
      <w:pPr>
        <w:pStyle w:val="Normal"/>
        <w:numPr>
          <w:ilvl w:val="3"/>
          <w:numId w:val="5"/>
        </w:numPr>
        <w:tabs>
          <w:tab w:val="clear" w:pos="432"/>
        </w:tabs>
        <w:rPr>
          <w:sz w:val="26"/>
        </w:rPr>
      </w:pPr>
      <w:r>
        <w:rPr>
          <w:sz w:val="26"/>
        </w:rPr>
        <w:t>Rolled-in cost allocation for Lines 400 and 401</w:t>
      </w:r>
    </w:p>
    <w:p>
      <w:pPr>
        <w:pStyle w:val="Normal"/>
        <w:numPr>
          <w:ilvl w:val="3"/>
          <w:numId w:val="5"/>
        </w:numPr>
        <w:tabs>
          <w:tab w:val="clear" w:pos="432"/>
        </w:tabs>
        <w:rPr>
          <w:sz w:val="26"/>
        </w:rPr>
      </w:pPr>
      <w:r>
        <w:rPr>
          <w:sz w:val="26"/>
        </w:rPr>
        <w:t>Bundled versus unbundled backbone transmission costs and rates</w:t>
      </w:r>
    </w:p>
    <w:p>
      <w:pPr>
        <w:pStyle w:val="Normal"/>
        <w:keepNext w:val="true"/>
        <w:spacing w:before="240" w:after="0"/>
        <w:rPr>
          <w:b/>
          <w:sz w:val="26"/>
        </w:rPr>
      </w:pPr>
      <w:r>
        <w:rPr>
          <w:b/>
          <w:sz w:val="26"/>
        </w:rPr>
        <w:t>K.</w:t>
        <w:tab/>
        <w:t xml:space="preserve">Suncor, Inc.  </w:t>
      </w:r>
      <w:r>
        <w:rPr>
          <w:sz w:val="26"/>
        </w:rPr>
        <w:t>(continued)</w:t>
      </w:r>
    </w:p>
    <w:p>
      <w:pPr>
        <w:pStyle w:val="Normal"/>
        <w:keepNext w:val="true"/>
        <w:numPr>
          <w:ilvl w:val="2"/>
          <w:numId w:val="5"/>
        </w:numPr>
        <w:rPr>
          <w:sz w:val="26"/>
        </w:rPr>
      </w:pPr>
      <w:r>
        <w:rPr>
          <w:sz w:val="26"/>
        </w:rPr>
        <w:t>Equal access issues</w:t>
      </w:r>
    </w:p>
    <w:p>
      <w:pPr>
        <w:pStyle w:val="Normal"/>
        <w:keepNext w:val="true"/>
        <w:numPr>
          <w:ilvl w:val="3"/>
          <w:numId w:val="5"/>
        </w:numPr>
        <w:tabs>
          <w:tab w:val="clear" w:pos="432"/>
        </w:tabs>
        <w:rPr>
          <w:sz w:val="26"/>
        </w:rPr>
      </w:pPr>
      <w:r>
        <w:rPr>
          <w:sz w:val="26"/>
        </w:rPr>
        <w:t>Allocation of backbone capacity in the primary market</w:t>
      </w:r>
    </w:p>
    <w:p>
      <w:pPr>
        <w:pStyle w:val="Normal"/>
        <w:keepNext w:val="true"/>
        <w:numPr>
          <w:ilvl w:val="3"/>
          <w:numId w:val="5"/>
        </w:numPr>
        <w:tabs>
          <w:tab w:val="clear" w:pos="432"/>
        </w:tabs>
        <w:rPr>
          <w:sz w:val="26"/>
        </w:rPr>
      </w:pPr>
      <w:r>
        <w:rPr>
          <w:sz w:val="26"/>
        </w:rPr>
        <w:t>Rates for firm and as-available backbone service</w:t>
      </w:r>
    </w:p>
    <w:p>
      <w:pPr>
        <w:pStyle w:val="Normal"/>
        <w:keepNext w:val="true"/>
        <w:numPr>
          <w:ilvl w:val="3"/>
          <w:numId w:val="5"/>
        </w:numPr>
        <w:tabs>
          <w:tab w:val="clear" w:pos="432"/>
        </w:tabs>
        <w:rPr>
          <w:sz w:val="26"/>
        </w:rPr>
      </w:pPr>
      <w:r>
        <w:rPr>
          <w:sz w:val="26"/>
        </w:rPr>
        <w:t>Rates for "inter-utility" backbone transportation (north to south or south to north)</w:t>
      </w:r>
    </w:p>
    <w:p>
      <w:pPr>
        <w:pStyle w:val="Normal"/>
        <w:keepNext w:val="true"/>
        <w:numPr>
          <w:ilvl w:val="3"/>
          <w:numId w:val="5"/>
        </w:numPr>
        <w:tabs>
          <w:tab w:val="clear" w:pos="432"/>
        </w:tabs>
        <w:rPr>
          <w:sz w:val="26"/>
        </w:rPr>
      </w:pPr>
      <w:r>
        <w:rPr>
          <w:sz w:val="26"/>
        </w:rPr>
        <w:t>Discounting rules for backbone rates</w:t>
      </w:r>
    </w:p>
    <w:p>
      <w:pPr>
        <w:pStyle w:val="Normal"/>
        <w:numPr>
          <w:ilvl w:val="3"/>
          <w:numId w:val="5"/>
        </w:numPr>
        <w:tabs>
          <w:tab w:val="clear" w:pos="432"/>
        </w:tabs>
        <w:rPr>
          <w:sz w:val="26"/>
        </w:rPr>
      </w:pPr>
      <w:r>
        <w:rPr>
          <w:sz w:val="26"/>
        </w:rPr>
        <w:t>Direct connections to backbone transmission</w:t>
      </w:r>
    </w:p>
    <w:p>
      <w:pPr>
        <w:pStyle w:val="Normal"/>
        <w:numPr>
          <w:ilvl w:val="3"/>
          <w:numId w:val="5"/>
        </w:numPr>
        <w:tabs>
          <w:tab w:val="clear" w:pos="432"/>
        </w:tabs>
        <w:rPr>
          <w:sz w:val="26"/>
        </w:rPr>
      </w:pPr>
      <w:r>
        <w:rPr>
          <w:sz w:val="26"/>
        </w:rPr>
        <w:t>Pricing of backbone service for core and noncore deliveries</w:t>
      </w:r>
    </w:p>
    <w:p>
      <w:pPr>
        <w:pStyle w:val="Normal"/>
        <w:numPr>
          <w:ilvl w:val="1"/>
          <w:numId w:val="5"/>
        </w:numPr>
        <w:rPr>
          <w:sz w:val="26"/>
        </w:rPr>
      </w:pPr>
      <w:r>
        <w:rPr>
          <w:sz w:val="26"/>
        </w:rPr>
        <w:t>Term of settlement</w:t>
      </w:r>
    </w:p>
    <w:p>
      <w:pPr>
        <w:pStyle w:val="Normal"/>
        <w:numPr>
          <w:ilvl w:val="2"/>
          <w:numId w:val="5"/>
        </w:numPr>
        <w:rPr>
          <w:sz w:val="26"/>
        </w:rPr>
      </w:pPr>
      <w:r>
        <w:rPr>
          <w:sz w:val="26"/>
        </w:rPr>
        <w:t>Rate certainty</w:t>
      </w:r>
    </w:p>
    <w:p>
      <w:pPr>
        <w:pStyle w:val="Normal"/>
        <w:numPr>
          <w:ilvl w:val="1"/>
          <w:numId w:val="5"/>
        </w:numPr>
        <w:rPr>
          <w:sz w:val="26"/>
        </w:rPr>
      </w:pPr>
      <w:r>
        <w:rPr>
          <w:sz w:val="26"/>
        </w:rPr>
        <w:t>Liquid markets; price transparency</w:t>
      </w:r>
    </w:p>
    <w:p>
      <w:pPr>
        <w:pStyle w:val="Normal"/>
        <w:numPr>
          <w:ilvl w:val="2"/>
          <w:numId w:val="5"/>
        </w:numPr>
        <w:rPr>
          <w:sz w:val="26"/>
        </w:rPr>
      </w:pPr>
      <w:r>
        <w:rPr>
          <w:sz w:val="26"/>
        </w:rPr>
        <w:t>Secondary markets for storage, backbone transmission, and imbalance trading.</w:t>
      </w:r>
    </w:p>
    <w:p>
      <w:pPr>
        <w:pStyle w:val="Normal"/>
        <w:keepNext w:val="true"/>
        <w:numPr>
          <w:ilvl w:val="0"/>
          <w:numId w:val="5"/>
        </w:numPr>
        <w:spacing w:before="240" w:after="0"/>
        <w:rPr>
          <w:b/>
          <w:sz w:val="26"/>
        </w:rPr>
      </w:pPr>
      <w:r>
        <w:rPr>
          <w:b/>
          <w:sz w:val="26"/>
        </w:rPr>
        <w:t>PowerSpring, Inc.</w:t>
      </w:r>
      <w:r>
        <w:rPr>
          <w:sz w:val="26"/>
        </w:rPr>
        <w:t xml:space="preserve">  (Justin Sutton, Tod Bradley)</w:t>
      </w:r>
    </w:p>
    <w:p>
      <w:pPr>
        <w:pStyle w:val="Normal"/>
        <w:numPr>
          <w:ilvl w:val="1"/>
          <w:numId w:val="5"/>
        </w:numPr>
        <w:rPr>
          <w:sz w:val="26"/>
        </w:rPr>
      </w:pPr>
      <w:r>
        <w:rPr>
          <w:sz w:val="26"/>
        </w:rPr>
        <w:t>Options regarding the use and installation of AMR devices for gas meters, including the use of the device and access to the information collected from customer meters.</w:t>
      </w:r>
    </w:p>
    <w:p>
      <w:pPr>
        <w:pStyle w:val="Normal"/>
        <w:numPr>
          <w:ilvl w:val="1"/>
          <w:numId w:val="5"/>
        </w:numPr>
        <w:rPr>
          <w:sz w:val="26"/>
        </w:rPr>
      </w:pPr>
      <w:r>
        <w:rPr>
          <w:sz w:val="26"/>
        </w:rPr>
        <w:t>Customer choice of daily nominating and balancing for Core Aggregated customers if the customer had installed AMR equipment per the meter add-on agreement.</w:t>
      </w:r>
    </w:p>
    <w:p>
      <w:pPr>
        <w:pStyle w:val="Normal"/>
        <w:numPr>
          <w:ilvl w:val="1"/>
          <w:numId w:val="5"/>
        </w:numPr>
        <w:rPr>
          <w:sz w:val="26"/>
        </w:rPr>
      </w:pPr>
      <w:r>
        <w:rPr>
          <w:sz w:val="26"/>
        </w:rPr>
        <w:t>Use of AMR data for OFO/EFO purposes.</w:t>
      </w:r>
    </w:p>
    <w:p>
      <w:pPr>
        <w:pStyle w:val="Normal"/>
        <w:keepNext w:val="true"/>
        <w:numPr>
          <w:ilvl w:val="0"/>
          <w:numId w:val="5"/>
        </w:numPr>
        <w:spacing w:before="240" w:after="0"/>
        <w:rPr>
          <w:b/>
          <w:sz w:val="26"/>
        </w:rPr>
      </w:pPr>
      <w:r>
        <w:rPr>
          <w:b/>
          <w:sz w:val="26"/>
        </w:rPr>
        <w:t xml:space="preserve">SPURR and CUB  </w:t>
      </w:r>
      <w:r>
        <w:rPr>
          <w:sz w:val="26"/>
        </w:rPr>
        <w:t>(Michael Rochman)</w:t>
        <w:tab/>
      </w:r>
    </w:p>
    <w:p>
      <w:pPr>
        <w:pStyle w:val="Normal"/>
        <w:numPr>
          <w:ilvl w:val="1"/>
          <w:numId w:val="5"/>
        </w:numPr>
        <w:rPr>
          <w:sz w:val="26"/>
        </w:rPr>
      </w:pPr>
      <w:r>
        <w:rPr>
          <w:sz w:val="26"/>
        </w:rPr>
        <w:t>Default service</w:t>
      </w:r>
    </w:p>
    <w:p>
      <w:pPr>
        <w:pStyle w:val="Normal"/>
        <w:numPr>
          <w:ilvl w:val="2"/>
          <w:numId w:val="5"/>
        </w:numPr>
        <w:rPr>
          <w:sz w:val="26"/>
        </w:rPr>
      </w:pPr>
      <w:r>
        <w:rPr>
          <w:sz w:val="26"/>
        </w:rPr>
        <w:t xml:space="preserve">PG&amp;E should state clearly whether it </w:t>
      </w:r>
      <w:r>
        <w:rPr>
          <w:i/>
          <w:sz w:val="26"/>
        </w:rPr>
        <w:t>intends</w:t>
      </w:r>
      <w:r>
        <w:rPr>
          <w:sz w:val="26"/>
        </w:rPr>
        <w:t xml:space="preserve"> ultimately to exit some or all of the commodity procurement function.</w:t>
      </w:r>
    </w:p>
    <w:p>
      <w:pPr>
        <w:pStyle w:val="Normal"/>
        <w:numPr>
          <w:ilvl w:val="1"/>
          <w:numId w:val="5"/>
        </w:numPr>
        <w:rPr>
          <w:sz w:val="26"/>
        </w:rPr>
      </w:pPr>
      <w:r>
        <w:rPr>
          <w:sz w:val="26"/>
        </w:rPr>
        <w:t>PG&amp;E Core Procurement Department</w:t>
      </w:r>
    </w:p>
    <w:p>
      <w:pPr>
        <w:pStyle w:val="Normal"/>
        <w:numPr>
          <w:ilvl w:val="2"/>
          <w:numId w:val="5"/>
        </w:numPr>
        <w:rPr>
          <w:sz w:val="26"/>
        </w:rPr>
      </w:pPr>
      <w:r>
        <w:rPr>
          <w:sz w:val="26"/>
        </w:rPr>
        <w:t>A “spin-off” of PG&amp;E’s Core Procurement Department; either an actual or a virtual spin-off.  Includes a name change, separate location, arms-length services agreement with Transportation Department.</w:t>
      </w:r>
    </w:p>
    <w:p>
      <w:pPr>
        <w:pStyle w:val="Normal"/>
        <w:numPr>
          <w:ilvl w:val="2"/>
          <w:numId w:val="5"/>
        </w:numPr>
        <w:rPr>
          <w:sz w:val="26"/>
        </w:rPr>
      </w:pPr>
      <w:r>
        <w:rPr>
          <w:sz w:val="26"/>
        </w:rPr>
        <w:t xml:space="preserve">PG&amp;E currently has some incentives to retain market share (CPIM).  These should be eliminated and new incentives, for PG&amp;E to decrease market share should be implemented. </w:t>
      </w:r>
    </w:p>
    <w:p>
      <w:pPr>
        <w:pStyle w:val="Normal"/>
        <w:numPr>
          <w:ilvl w:val="1"/>
          <w:numId w:val="5"/>
        </w:numPr>
        <w:rPr>
          <w:sz w:val="26"/>
        </w:rPr>
      </w:pPr>
      <w:r>
        <w:rPr>
          <w:sz w:val="26"/>
        </w:rPr>
        <w:t>Core Aggregation Promotion</w:t>
      </w:r>
    </w:p>
    <w:p>
      <w:pPr>
        <w:pStyle w:val="Normal"/>
        <w:numPr>
          <w:ilvl w:val="2"/>
          <w:numId w:val="5"/>
        </w:numPr>
        <w:rPr>
          <w:sz w:val="26"/>
        </w:rPr>
      </w:pPr>
      <w:r>
        <w:rPr>
          <w:sz w:val="26"/>
        </w:rPr>
        <w:t xml:space="preserve">PG&amp;E to establish a well-publicized shopping credits fund, paid on a first-come, first-serve basis. </w:t>
      </w:r>
      <w:r>
        <w:br w:type="page"/>
      </w:r>
    </w:p>
    <w:p>
      <w:pPr>
        <w:pStyle w:val="Normal"/>
        <w:keepNext w:val="true"/>
        <w:spacing w:before="240" w:after="0"/>
        <w:rPr>
          <w:b/>
          <w:sz w:val="26"/>
        </w:rPr>
      </w:pPr>
      <w:r>
        <w:rPr>
          <w:b/>
          <w:sz w:val="26"/>
        </w:rPr>
        <w:t>M.</w:t>
        <w:tab/>
        <w:t xml:space="preserve">SPURR and CUB  </w:t>
      </w:r>
      <w:r>
        <w:rPr>
          <w:sz w:val="26"/>
        </w:rPr>
        <w:t>(Continued)</w:t>
      </w:r>
    </w:p>
    <w:p>
      <w:pPr>
        <w:pStyle w:val="Normal"/>
        <w:numPr>
          <w:ilvl w:val="2"/>
          <w:numId w:val="5"/>
        </w:numPr>
        <w:rPr>
          <w:sz w:val="26"/>
        </w:rPr>
      </w:pPr>
      <w:r>
        <w:rPr>
          <w:sz w:val="26"/>
        </w:rPr>
        <w:t xml:space="preserve">PG&amp;E to give specific examples in its marketing materials of potential benefits of core aggregation and affirm that it encourages customers to seek alternatives. </w:t>
      </w:r>
    </w:p>
    <w:p>
      <w:pPr>
        <w:pStyle w:val="Normal"/>
        <w:numPr>
          <w:ilvl w:val="2"/>
          <w:numId w:val="5"/>
        </w:numPr>
        <w:rPr>
          <w:sz w:val="26"/>
        </w:rPr>
      </w:pPr>
      <w:r>
        <w:rPr>
          <w:sz w:val="26"/>
        </w:rPr>
        <w:t>PG&amp;E to educate consumers on pricing issues, including volatility and PG&amp;E’s own pricing practices, e.g., clarifying that PG&amp;E prices are not regulated, are not stated in advance, and are not “special” in any way.</w:t>
      </w:r>
    </w:p>
    <w:p>
      <w:pPr>
        <w:pStyle w:val="Normal"/>
        <w:numPr>
          <w:ilvl w:val="2"/>
          <w:numId w:val="5"/>
        </w:numPr>
        <w:rPr>
          <w:sz w:val="26"/>
        </w:rPr>
      </w:pPr>
      <w:r>
        <w:rPr>
          <w:sz w:val="26"/>
        </w:rPr>
        <w:t xml:space="preserve">On PG&amp;E bundled invoices, “show the math” to make price comparisons understandable and accurate.  </w:t>
      </w:r>
    </w:p>
    <w:p>
      <w:pPr>
        <w:pStyle w:val="Normal"/>
        <w:numPr>
          <w:ilvl w:val="1"/>
          <w:numId w:val="5"/>
        </w:numPr>
        <w:rPr>
          <w:sz w:val="26"/>
        </w:rPr>
      </w:pPr>
      <w:r>
        <w:rPr>
          <w:sz w:val="26"/>
        </w:rPr>
        <w:t>Core Procurement Pricing</w:t>
      </w:r>
    </w:p>
    <w:p>
      <w:pPr>
        <w:pStyle w:val="Normal"/>
        <w:numPr>
          <w:ilvl w:val="2"/>
          <w:numId w:val="5"/>
        </w:numPr>
        <w:rPr>
          <w:sz w:val="26"/>
        </w:rPr>
      </w:pPr>
      <w:r>
        <w:rPr>
          <w:sz w:val="26"/>
        </w:rPr>
        <w:t>Compute core procurement prices to send true retail price signal, either by re-allocation of costs, by actual separation of procurement function to a separate, regulated utility under the PG&amp;E umbrella, or by outsourcing procurement function to one or more third parties.</w:t>
      </w:r>
    </w:p>
    <w:p>
      <w:pPr>
        <w:pStyle w:val="Normal"/>
        <w:ind w:start="432" w:end="0"/>
        <w:rPr>
          <w:sz w:val="26"/>
        </w:rPr>
      </w:pPr>
      <w:r>
        <w:rPr>
          <w:sz w:val="26"/>
        </w:rPr>
        <w:t>4.</w:t>
        <w:tab/>
        <w:t>Core Procurement Pricing  (continued)</w:t>
      </w:r>
    </w:p>
    <w:p>
      <w:pPr>
        <w:pStyle w:val="Normal"/>
        <w:numPr>
          <w:ilvl w:val="2"/>
          <w:numId w:val="5"/>
        </w:numPr>
        <w:rPr>
          <w:sz w:val="26"/>
        </w:rPr>
      </w:pPr>
      <w:r>
        <w:rPr>
          <w:sz w:val="26"/>
        </w:rPr>
        <w:t>PG&amp;E to post a “standard offer” price in advance for a 12 to 24 month period, so long as it is computed to include all retail, fully delivered cost components.  Or commit to pricing for a period at “NGI PG&amp;E City Gate plus X”, so long as burnertip price is computed to include all retail, fully-delivered cost components.  This would allow consumers and competitors actually to assess going-forward prices.</w:t>
      </w:r>
    </w:p>
    <w:p>
      <w:pPr>
        <w:pStyle w:val="Normal"/>
        <w:numPr>
          <w:ilvl w:val="2"/>
          <w:numId w:val="5"/>
        </w:numPr>
        <w:rPr>
          <w:sz w:val="26"/>
        </w:rPr>
      </w:pPr>
      <w:r>
        <w:rPr>
          <w:sz w:val="26"/>
        </w:rPr>
        <w:t>Include any transport-only credits as components of core procurement rates, rather than as deducts from local distribution rates.</w:t>
      </w:r>
    </w:p>
    <w:p>
      <w:pPr>
        <w:pStyle w:val="Normal"/>
        <w:numPr>
          <w:ilvl w:val="1"/>
          <w:numId w:val="5"/>
        </w:numPr>
        <w:rPr>
          <w:sz w:val="26"/>
        </w:rPr>
      </w:pPr>
      <w:r>
        <w:rPr>
          <w:sz w:val="26"/>
        </w:rPr>
        <w:t>Core Aggregation Options</w:t>
      </w:r>
    </w:p>
    <w:p>
      <w:pPr>
        <w:pStyle w:val="Normal"/>
        <w:numPr>
          <w:ilvl w:val="2"/>
          <w:numId w:val="5"/>
        </w:numPr>
        <w:rPr>
          <w:sz w:val="26"/>
        </w:rPr>
      </w:pPr>
      <w:r>
        <w:rPr>
          <w:sz w:val="26"/>
        </w:rPr>
        <w:t xml:space="preserve">Availability of "simplified core aggregation", whereby PG&amp;E sells gas to an aggregated group at CPG price and handles all billing, collections, and operations, but the aggregator sells the actual supply to PG&amp;E.  The price difference or hedge is rebated to the customer on an annual basis. </w:t>
      </w:r>
    </w:p>
    <w:p>
      <w:pPr>
        <w:pStyle w:val="Normal"/>
        <w:numPr>
          <w:ilvl w:val="2"/>
          <w:numId w:val="5"/>
        </w:numPr>
        <w:rPr>
          <w:sz w:val="26"/>
        </w:rPr>
      </w:pPr>
      <w:r>
        <w:rPr>
          <w:sz w:val="26"/>
        </w:rPr>
        <w:t>In another version of core aggregation, one or more wholesalers who are not "core aggregators" handle the credit and storage requirements for all or part of an aggregation.  The aggregator handles customer sign-up, billing, customer service, etc.  Can PG&amp;E deal with this sort of arrangement?  One key is the ability of the aggregator to add or delete  wholesalers without apparent change to the end-user.  We could call this “core syndication.”</w:t>
      </w:r>
      <w:r>
        <w:br w:type="page"/>
      </w:r>
    </w:p>
    <w:p>
      <w:pPr>
        <w:pStyle w:val="Normal"/>
        <w:keepNext w:val="true"/>
        <w:spacing w:before="240" w:after="0"/>
        <w:rPr>
          <w:b/>
          <w:sz w:val="26"/>
        </w:rPr>
      </w:pPr>
      <w:r>
        <w:rPr>
          <w:b/>
          <w:sz w:val="26"/>
        </w:rPr>
        <w:t>M.</w:t>
        <w:tab/>
        <w:t xml:space="preserve">SPURR and CUB  </w:t>
      </w:r>
      <w:r>
        <w:rPr>
          <w:sz w:val="26"/>
        </w:rPr>
        <w:t>(Continued)</w:t>
      </w:r>
    </w:p>
    <w:p>
      <w:pPr>
        <w:pStyle w:val="Normal"/>
        <w:keepNext w:val="true"/>
        <w:numPr>
          <w:ilvl w:val="1"/>
          <w:numId w:val="5"/>
        </w:numPr>
        <w:rPr>
          <w:sz w:val="26"/>
        </w:rPr>
      </w:pPr>
      <w:r>
        <w:rPr>
          <w:sz w:val="26"/>
        </w:rPr>
        <w:t>Clean up data transmission from PG&amp;E to core aggregators.  Enter contractual relationships with aggregators treating them as customers with respect to data transmission and other issues.  Aggregators could recover damages if PG&amp;E fails to perform as agreed.</w:t>
      </w:r>
    </w:p>
    <w:p>
      <w:pPr>
        <w:pStyle w:val="Normal"/>
        <w:numPr>
          <w:ilvl w:val="1"/>
          <w:numId w:val="5"/>
        </w:numPr>
        <w:rPr>
          <w:sz w:val="26"/>
        </w:rPr>
      </w:pPr>
      <w:r>
        <w:rPr>
          <w:sz w:val="26"/>
        </w:rPr>
        <w:t>What price and terms for UDC consolidated billing?  Will Core Procurement be charged that price as well for the billing service?</w:t>
      </w:r>
    </w:p>
    <w:p>
      <w:pPr>
        <w:pStyle w:val="Normal"/>
        <w:numPr>
          <w:ilvl w:val="1"/>
          <w:numId w:val="5"/>
        </w:numPr>
        <w:rPr>
          <w:sz w:val="26"/>
        </w:rPr>
      </w:pPr>
      <w:r>
        <w:rPr>
          <w:sz w:val="26"/>
        </w:rPr>
        <w:t>Redefinition of core / non-core distinction.</w:t>
      </w:r>
    </w:p>
    <w:p>
      <w:pPr>
        <w:pStyle w:val="Normal"/>
        <w:numPr>
          <w:ilvl w:val="1"/>
          <w:numId w:val="5"/>
        </w:numPr>
        <w:rPr>
          <w:sz w:val="26"/>
        </w:rPr>
      </w:pPr>
      <w:r>
        <w:rPr>
          <w:sz w:val="26"/>
        </w:rPr>
        <w:t>PG&amp;E to develop tariffs to encourage AMR use by core customers.</w:t>
      </w:r>
    </w:p>
    <w:p>
      <w:pPr>
        <w:pStyle w:val="Normal"/>
        <w:keepNext w:val="true"/>
        <w:numPr>
          <w:ilvl w:val="0"/>
          <w:numId w:val="5"/>
        </w:numPr>
        <w:spacing w:before="240" w:after="0"/>
        <w:rPr>
          <w:b/>
          <w:sz w:val="26"/>
        </w:rPr>
      </w:pPr>
      <w:r>
        <w:rPr>
          <w:b/>
          <w:sz w:val="26"/>
        </w:rPr>
        <w:t xml:space="preserve">Wild Goose Storage  </w:t>
      </w:r>
      <w:r>
        <w:rPr>
          <w:sz w:val="26"/>
        </w:rPr>
        <w:t>(Mark Baldwin)</w:t>
      </w:r>
    </w:p>
    <w:p>
      <w:pPr>
        <w:pStyle w:val="Normal"/>
        <w:numPr>
          <w:ilvl w:val="1"/>
          <w:numId w:val="5"/>
        </w:numPr>
        <w:rPr>
          <w:sz w:val="26"/>
        </w:rPr>
      </w:pPr>
      <w:r>
        <w:rPr>
          <w:sz w:val="26"/>
        </w:rPr>
        <w:t>More competitive services.</w:t>
      </w:r>
    </w:p>
    <w:p>
      <w:pPr>
        <w:pStyle w:val="Normal"/>
        <w:numPr>
          <w:ilvl w:val="1"/>
          <w:numId w:val="5"/>
        </w:numPr>
        <w:rPr>
          <w:sz w:val="26"/>
        </w:rPr>
      </w:pPr>
      <w:r>
        <w:rPr>
          <w:sz w:val="26"/>
        </w:rPr>
        <w:t>Continue Gas Accord structure.</w:t>
      </w:r>
    </w:p>
    <w:p>
      <w:pPr>
        <w:pStyle w:val="Normal"/>
        <w:keepNext w:val="true"/>
        <w:numPr>
          <w:ilvl w:val="0"/>
          <w:numId w:val="5"/>
        </w:numPr>
        <w:spacing w:before="240" w:after="0"/>
        <w:rPr>
          <w:b/>
          <w:sz w:val="26"/>
        </w:rPr>
      </w:pPr>
      <w:r>
        <w:rPr>
          <w:b/>
          <w:sz w:val="26"/>
        </w:rPr>
        <w:t xml:space="preserve">Department of General Services [DGS]  </w:t>
      </w:r>
      <w:r>
        <w:rPr>
          <w:sz w:val="26"/>
        </w:rPr>
        <w:t>(Matt Brady)</w:t>
      </w:r>
    </w:p>
    <w:p>
      <w:pPr>
        <w:pStyle w:val="Normal"/>
        <w:numPr>
          <w:ilvl w:val="1"/>
          <w:numId w:val="5"/>
        </w:numPr>
        <w:rPr>
          <w:sz w:val="26"/>
        </w:rPr>
      </w:pPr>
      <w:r>
        <w:rPr>
          <w:sz w:val="26"/>
        </w:rPr>
        <w:t>Local area curtailments and expenditures for reliability.</w:t>
      </w:r>
    </w:p>
    <w:p>
      <w:pPr>
        <w:pStyle w:val="Normal"/>
        <w:numPr>
          <w:ilvl w:val="1"/>
          <w:numId w:val="5"/>
        </w:numPr>
        <w:rPr>
          <w:sz w:val="26"/>
        </w:rPr>
      </w:pPr>
      <w:r>
        <w:rPr>
          <w:sz w:val="26"/>
        </w:rPr>
        <w:t>EG class segmentation.</w:t>
      </w:r>
    </w:p>
    <w:p>
      <w:pPr>
        <w:pStyle w:val="Normal"/>
        <w:keepNext w:val="true"/>
        <w:numPr>
          <w:ilvl w:val="0"/>
          <w:numId w:val="5"/>
        </w:numPr>
        <w:spacing w:before="240" w:after="0"/>
        <w:rPr>
          <w:b/>
          <w:sz w:val="26"/>
        </w:rPr>
      </w:pPr>
      <w:r>
        <w:rPr>
          <w:b/>
          <w:sz w:val="26"/>
        </w:rPr>
        <w:t xml:space="preserve">Southern California Edison [SCE]  </w:t>
      </w:r>
      <w:r>
        <w:rPr>
          <w:sz w:val="26"/>
        </w:rPr>
        <w:t>(Tom Fillmore)</w:t>
      </w:r>
    </w:p>
    <w:p>
      <w:pPr>
        <w:pStyle w:val="Normal"/>
        <w:numPr>
          <w:ilvl w:val="1"/>
          <w:numId w:val="5"/>
        </w:numPr>
        <w:rPr>
          <w:sz w:val="26"/>
        </w:rPr>
      </w:pPr>
      <w:r>
        <w:rPr>
          <w:sz w:val="26"/>
        </w:rPr>
        <w:t>Cost-based rates.</w:t>
      </w:r>
    </w:p>
    <w:p>
      <w:pPr>
        <w:pStyle w:val="Normal"/>
        <w:keepNext w:val="true"/>
        <w:numPr>
          <w:ilvl w:val="0"/>
          <w:numId w:val="5"/>
        </w:numPr>
        <w:spacing w:before="240" w:after="0"/>
        <w:rPr>
          <w:b/>
          <w:sz w:val="26"/>
        </w:rPr>
      </w:pPr>
      <w:r>
        <w:rPr>
          <w:b/>
          <w:sz w:val="26"/>
        </w:rPr>
        <w:t xml:space="preserve">Calpine  </w:t>
      </w:r>
      <w:r>
        <w:rPr>
          <w:sz w:val="26"/>
        </w:rPr>
        <w:t>(Salle Yoo)</w:t>
      </w:r>
    </w:p>
    <w:p>
      <w:pPr>
        <w:pStyle w:val="Normal"/>
        <w:numPr>
          <w:ilvl w:val="1"/>
          <w:numId w:val="5"/>
        </w:numPr>
        <w:rPr>
          <w:sz w:val="26"/>
        </w:rPr>
      </w:pPr>
      <w:r>
        <w:rPr>
          <w:sz w:val="26"/>
        </w:rPr>
        <w:t>Direct connects to backbone.</w:t>
      </w:r>
    </w:p>
    <w:p>
      <w:pPr>
        <w:pStyle w:val="Normal"/>
        <w:keepNext w:val="true"/>
        <w:numPr>
          <w:ilvl w:val="0"/>
          <w:numId w:val="5"/>
        </w:numPr>
        <w:spacing w:before="240" w:after="0"/>
        <w:rPr>
          <w:b/>
          <w:sz w:val="26"/>
        </w:rPr>
      </w:pPr>
      <w:r>
        <w:rPr>
          <w:b/>
          <w:sz w:val="26"/>
        </w:rPr>
        <w:t xml:space="preserve">California Independent Petroleum Association [CIPA]  </w:t>
      </w:r>
      <w:r>
        <w:rPr>
          <w:sz w:val="26"/>
        </w:rPr>
        <w:t>(John Martini, Ed Poole)</w:t>
      </w:r>
    </w:p>
    <w:p>
      <w:pPr>
        <w:pStyle w:val="Normal"/>
        <w:numPr>
          <w:ilvl w:val="1"/>
          <w:numId w:val="5"/>
        </w:numPr>
        <w:rPr>
          <w:sz w:val="26"/>
        </w:rPr>
      </w:pPr>
      <w:r>
        <w:rPr>
          <w:sz w:val="26"/>
        </w:rPr>
        <w:t>Re-examine and pursue the transfer/sale of all or a portion of the Northern Sacramento Basin gathering system to any interested co-operative or producer;</w:t>
      </w:r>
    </w:p>
    <w:p>
      <w:pPr>
        <w:pStyle w:val="Normal"/>
        <w:numPr>
          <w:ilvl w:val="1"/>
          <w:numId w:val="5"/>
        </w:numPr>
        <w:rPr>
          <w:sz w:val="26"/>
        </w:rPr>
      </w:pPr>
      <w:r>
        <w:rPr>
          <w:sz w:val="26"/>
        </w:rPr>
        <w:t>Commit to developing a system that ensures reliable and continued access to delivery for independent producers;</w:t>
      </w:r>
    </w:p>
    <w:p>
      <w:pPr>
        <w:pStyle w:val="Normal"/>
        <w:numPr>
          <w:ilvl w:val="1"/>
          <w:numId w:val="5"/>
        </w:numPr>
        <w:rPr>
          <w:sz w:val="26"/>
        </w:rPr>
      </w:pPr>
      <w:r>
        <w:rPr>
          <w:sz w:val="26"/>
        </w:rPr>
        <w:t>Develop guarantees for timely interconnection into PG&amp;E’s delivery systems for independent producers;</w:t>
      </w:r>
    </w:p>
    <w:p>
      <w:pPr>
        <w:pStyle w:val="Normal"/>
        <w:numPr>
          <w:ilvl w:val="1"/>
          <w:numId w:val="5"/>
        </w:numPr>
        <w:rPr>
          <w:sz w:val="26"/>
        </w:rPr>
      </w:pPr>
      <w:r>
        <w:rPr>
          <w:sz w:val="26"/>
        </w:rPr>
        <w:t>Develop a bypass delivery system in order to avoid severe disruption in the delivery of gas to market when pipelines are taken off-line for maintenance or other reasons.  This issue should also include a discussion as to whether the construction of such a pipeline could be financed and conducted by any producer interested in entering into a legally enforceable agreement with PG&amp;E;</w:t>
      </w:r>
      <w:r>
        <w:br w:type="page"/>
      </w:r>
    </w:p>
    <w:p>
      <w:pPr>
        <w:pStyle w:val="Normal"/>
        <w:keepNext w:val="true"/>
        <w:rPr>
          <w:b/>
          <w:sz w:val="26"/>
        </w:rPr>
      </w:pPr>
      <w:r>
        <w:rPr>
          <w:b/>
          <w:sz w:val="26"/>
        </w:rPr>
        <w:t>R.</w:t>
        <w:tab/>
        <w:t xml:space="preserve">California Independent Petroleum Association [CIPA]  </w:t>
      </w:r>
      <w:r>
        <w:rPr>
          <w:bCs/>
          <w:sz w:val="26"/>
        </w:rPr>
        <w:t>(Continued)</w:t>
      </w:r>
    </w:p>
    <w:p>
      <w:pPr>
        <w:pStyle w:val="Normal"/>
        <w:numPr>
          <w:ilvl w:val="1"/>
          <w:numId w:val="5"/>
        </w:numPr>
        <w:rPr>
          <w:sz w:val="26"/>
        </w:rPr>
      </w:pPr>
      <w:r>
        <w:rPr>
          <w:sz w:val="26"/>
        </w:rPr>
        <w:t xml:space="preserve">Develop an environmental liability protection provision for conducting pipeline maintenance while proceeding with the sale/transfer of individual portions of the gathering system; </w:t>
      </w:r>
    </w:p>
    <w:p>
      <w:pPr>
        <w:pStyle w:val="Normal"/>
        <w:numPr>
          <w:ilvl w:val="1"/>
          <w:numId w:val="5"/>
        </w:numPr>
        <w:rPr>
          <w:sz w:val="26"/>
        </w:rPr>
      </w:pPr>
      <w:r>
        <w:rPr>
          <w:sz w:val="26"/>
        </w:rPr>
        <w:t>Develop a process for PG&amp;E to assign easements including those not acquired under eminent domain;</w:t>
      </w:r>
    </w:p>
    <w:p>
      <w:pPr>
        <w:pStyle w:val="Normal"/>
        <w:numPr>
          <w:ilvl w:val="1"/>
          <w:numId w:val="5"/>
        </w:numPr>
        <w:rPr>
          <w:sz w:val="26"/>
        </w:rPr>
      </w:pPr>
      <w:r>
        <w:rPr>
          <w:sz w:val="26"/>
        </w:rPr>
        <w:t>Retain the existing transportation tariff on the Silverado path (this issue was successfully negotiated between CIPA and PG&amp;E during the last Gas Accord process);</w:t>
      </w:r>
    </w:p>
    <w:p>
      <w:pPr>
        <w:pStyle w:val="Normal"/>
        <w:numPr>
          <w:ilvl w:val="1"/>
          <w:numId w:val="5"/>
        </w:numPr>
        <w:rPr>
          <w:sz w:val="26"/>
        </w:rPr>
      </w:pPr>
      <w:r>
        <w:rPr>
          <w:sz w:val="26"/>
        </w:rPr>
        <w:t>Review existing tariffs on gas and line maintenance;</w:t>
      </w:r>
    </w:p>
    <w:p>
      <w:pPr>
        <w:pStyle w:val="Normal"/>
        <w:numPr>
          <w:ilvl w:val="1"/>
          <w:numId w:val="5"/>
        </w:numPr>
        <w:rPr>
          <w:sz w:val="26"/>
        </w:rPr>
      </w:pPr>
      <w:r>
        <w:rPr>
          <w:sz w:val="26"/>
        </w:rPr>
        <w:t>Examine gas quality issues and provide guaranteed acceptance of gas with low BTU;</w:t>
      </w:r>
    </w:p>
    <w:p>
      <w:pPr>
        <w:pStyle w:val="Normal"/>
        <w:numPr>
          <w:ilvl w:val="1"/>
          <w:numId w:val="5"/>
        </w:numPr>
        <w:rPr>
          <w:sz w:val="26"/>
        </w:rPr>
      </w:pPr>
      <w:r>
        <w:rPr>
          <w:sz w:val="26"/>
        </w:rPr>
        <w:t xml:space="preserve">Examine new procedures for determining maximum daily quantity on wells; </w:t>
      </w:r>
    </w:p>
    <w:p>
      <w:pPr>
        <w:pStyle w:val="Normal"/>
        <w:numPr>
          <w:ilvl w:val="1"/>
          <w:numId w:val="5"/>
        </w:numPr>
        <w:rPr>
          <w:sz w:val="26"/>
        </w:rPr>
      </w:pPr>
      <w:r>
        <w:rPr>
          <w:sz w:val="26"/>
        </w:rPr>
        <w:t>Examine all balancing issues;</w:t>
      </w:r>
    </w:p>
    <w:p>
      <w:pPr>
        <w:pStyle w:val="Normal"/>
        <w:numPr>
          <w:ilvl w:val="1"/>
          <w:numId w:val="5"/>
        </w:numPr>
        <w:rPr>
          <w:sz w:val="26"/>
        </w:rPr>
      </w:pPr>
      <w:r>
        <w:rPr>
          <w:sz w:val="26"/>
        </w:rPr>
        <w:t>Develop an agreement under which PG&amp;E agrees not to seek any recourse against producers seeking alternate markets; and</w:t>
      </w:r>
    </w:p>
    <w:p>
      <w:pPr>
        <w:pStyle w:val="Normal"/>
        <w:numPr>
          <w:ilvl w:val="1"/>
          <w:numId w:val="5"/>
        </w:numPr>
        <w:rPr>
          <w:sz w:val="26"/>
        </w:rPr>
      </w:pPr>
      <w:r>
        <w:rPr>
          <w:sz w:val="26"/>
        </w:rPr>
        <w:t>Ensure all commitments made during the Gas Accord II process are legally enforceable and include penalties that assist in ensuring the commitments are upheld.</w:t>
      </w:r>
    </w:p>
    <w:p>
      <w:pPr>
        <w:pStyle w:val="Normal"/>
        <w:keepNext w:val="true"/>
        <w:numPr>
          <w:ilvl w:val="0"/>
          <w:numId w:val="5"/>
        </w:numPr>
        <w:spacing w:before="240" w:after="0"/>
        <w:rPr>
          <w:b/>
          <w:sz w:val="26"/>
        </w:rPr>
      </w:pPr>
      <w:r>
        <w:rPr>
          <w:b/>
          <w:sz w:val="26"/>
        </w:rPr>
        <w:t xml:space="preserve">San Diego Gas and Electric [SDG&amp;E]  </w:t>
      </w:r>
      <w:r>
        <w:rPr>
          <w:sz w:val="26"/>
        </w:rPr>
        <w:t>(Ralph Purves)</w:t>
      </w:r>
    </w:p>
    <w:p>
      <w:pPr>
        <w:pStyle w:val="Normal"/>
        <w:numPr>
          <w:ilvl w:val="1"/>
          <w:numId w:val="5"/>
        </w:numPr>
        <w:rPr>
          <w:sz w:val="26"/>
        </w:rPr>
      </w:pPr>
      <w:r>
        <w:rPr>
          <w:sz w:val="26"/>
        </w:rPr>
        <w:t>Line 401 shipper and rate issues</w:t>
      </w:r>
    </w:p>
    <w:p>
      <w:pPr>
        <w:pStyle w:val="Normal"/>
        <w:numPr>
          <w:ilvl w:val="1"/>
          <w:numId w:val="5"/>
        </w:numPr>
        <w:rPr>
          <w:sz w:val="26"/>
        </w:rPr>
      </w:pPr>
      <w:r>
        <w:rPr>
          <w:sz w:val="26"/>
        </w:rPr>
        <w:t>Wheeler Ridge access, if not resolved in SoCalGas case.</w:t>
      </w:r>
    </w:p>
    <w:p>
      <w:pPr>
        <w:pStyle w:val="Normal"/>
        <w:keepNext w:val="true"/>
        <w:numPr>
          <w:ilvl w:val="0"/>
          <w:numId w:val="5"/>
        </w:numPr>
        <w:spacing w:before="240" w:after="0"/>
        <w:rPr>
          <w:b/>
          <w:sz w:val="26"/>
        </w:rPr>
      </w:pPr>
      <w:r>
        <w:rPr>
          <w:b/>
          <w:sz w:val="26"/>
        </w:rPr>
        <w:t xml:space="preserve">Office of Ratepayer Advocates [ORA]  </w:t>
      </w:r>
      <w:r>
        <w:rPr>
          <w:sz w:val="26"/>
        </w:rPr>
        <w:t>(Mark Pocta)</w:t>
      </w:r>
    </w:p>
    <w:p>
      <w:pPr>
        <w:pStyle w:val="Normal"/>
        <w:numPr>
          <w:ilvl w:val="1"/>
          <w:numId w:val="5"/>
        </w:numPr>
        <w:rPr>
          <w:sz w:val="26"/>
        </w:rPr>
      </w:pPr>
      <w:r>
        <w:rPr>
          <w:sz w:val="26"/>
        </w:rPr>
        <w:t>Continue basic Gas Accord structure with updated data.</w:t>
      </w:r>
    </w:p>
    <w:p>
      <w:pPr>
        <w:pStyle w:val="Normal"/>
        <w:numPr>
          <w:ilvl w:val="1"/>
          <w:numId w:val="5"/>
        </w:numPr>
        <w:rPr>
          <w:sz w:val="26"/>
        </w:rPr>
      </w:pPr>
      <w:r>
        <w:rPr>
          <w:sz w:val="26"/>
        </w:rPr>
        <w:t>Core reservations and assets.</w:t>
      </w:r>
    </w:p>
    <w:p>
      <w:pPr>
        <w:pStyle w:val="Normal"/>
        <w:numPr>
          <w:ilvl w:val="1"/>
          <w:numId w:val="5"/>
        </w:numPr>
        <w:rPr>
          <w:sz w:val="26"/>
        </w:rPr>
      </w:pPr>
      <w:r>
        <w:rPr>
          <w:sz w:val="26"/>
        </w:rPr>
        <w:t>Open seasons and auctions, including possible short-term and long-term capacity blocks.</w:t>
      </w:r>
    </w:p>
    <w:p>
      <w:pPr>
        <w:pStyle w:val="Normal"/>
        <w:numPr>
          <w:ilvl w:val="1"/>
          <w:numId w:val="5"/>
        </w:numPr>
        <w:rPr>
          <w:sz w:val="26"/>
        </w:rPr>
      </w:pPr>
      <w:r>
        <w:rPr>
          <w:sz w:val="26"/>
        </w:rPr>
        <w:t>Support continuation of vintage rates.</w:t>
      </w:r>
    </w:p>
    <w:p>
      <w:pPr>
        <w:pStyle w:val="Normal"/>
        <w:keepNext w:val="true"/>
        <w:numPr>
          <w:ilvl w:val="0"/>
          <w:numId w:val="5"/>
        </w:numPr>
        <w:spacing w:before="240" w:after="0"/>
        <w:rPr>
          <w:b/>
          <w:sz w:val="26"/>
        </w:rPr>
      </w:pPr>
      <w:r>
        <w:rPr>
          <w:b/>
          <w:sz w:val="26"/>
        </w:rPr>
        <w:t xml:space="preserve">TXU  </w:t>
      </w:r>
      <w:r>
        <w:rPr>
          <w:sz w:val="26"/>
        </w:rPr>
        <w:t>(Gerard Worster)</w:t>
      </w:r>
    </w:p>
    <w:p>
      <w:pPr>
        <w:pStyle w:val="Normal"/>
        <w:numPr>
          <w:ilvl w:val="1"/>
          <w:numId w:val="5"/>
        </w:numPr>
        <w:rPr>
          <w:sz w:val="26"/>
        </w:rPr>
      </w:pPr>
      <w:r>
        <w:rPr>
          <w:sz w:val="26"/>
        </w:rPr>
        <w:t>Support Shell issues listed by John Leslie</w:t>
      </w:r>
    </w:p>
    <w:p>
      <w:pPr>
        <w:pStyle w:val="Normal"/>
        <w:numPr>
          <w:ilvl w:val="1"/>
          <w:numId w:val="5"/>
        </w:numPr>
        <w:rPr>
          <w:sz w:val="26"/>
        </w:rPr>
      </w:pPr>
      <w:r>
        <w:rPr>
          <w:sz w:val="26"/>
        </w:rPr>
        <w:t>Access to ANG/NOVA capacity in proportion to PG&amp;E’s Core Procurement Department’s holdings on these systems and PGT.</w:t>
      </w:r>
    </w:p>
    <w:p>
      <w:pPr>
        <w:pStyle w:val="Normal"/>
        <w:keepNext w:val="true"/>
        <w:numPr>
          <w:ilvl w:val="0"/>
          <w:numId w:val="5"/>
        </w:numPr>
        <w:spacing w:before="240" w:after="0"/>
        <w:rPr>
          <w:b/>
          <w:sz w:val="26"/>
        </w:rPr>
      </w:pPr>
      <w:r>
        <w:rPr>
          <w:b/>
          <w:sz w:val="26"/>
        </w:rPr>
        <w:t xml:space="preserve">CIG/CM&amp;TA  </w:t>
      </w:r>
      <w:r>
        <w:rPr>
          <w:sz w:val="26"/>
        </w:rPr>
        <w:t>(Keith McCrea)</w:t>
      </w:r>
    </w:p>
    <w:p>
      <w:pPr>
        <w:pStyle w:val="Normal"/>
        <w:numPr>
          <w:ilvl w:val="1"/>
          <w:numId w:val="5"/>
        </w:numPr>
        <w:rPr>
          <w:sz w:val="26"/>
        </w:rPr>
      </w:pPr>
      <w:r>
        <w:rPr>
          <w:sz w:val="26"/>
        </w:rPr>
        <w:t>Transmission rates, especially eliminating Line 400 vintage.</w:t>
      </w:r>
    </w:p>
    <w:p>
      <w:pPr>
        <w:pStyle w:val="Normal"/>
        <w:numPr>
          <w:ilvl w:val="1"/>
          <w:numId w:val="5"/>
        </w:numPr>
        <w:rPr>
          <w:sz w:val="26"/>
        </w:rPr>
      </w:pPr>
      <w:r>
        <w:rPr>
          <w:sz w:val="26"/>
        </w:rPr>
        <w:t>Rate stability and guarantees.</w:t>
      </w:r>
    </w:p>
    <w:p>
      <w:pPr>
        <w:pStyle w:val="Normal"/>
        <w:numPr>
          <w:ilvl w:val="1"/>
          <w:numId w:val="5"/>
        </w:numPr>
        <w:rPr>
          <w:sz w:val="26"/>
        </w:rPr>
      </w:pPr>
      <w:r>
        <w:rPr>
          <w:sz w:val="26"/>
        </w:rPr>
        <w:t>Local transmission reliability and curtailment procedures.</w:t>
      </w:r>
    </w:p>
    <w:p>
      <w:pPr>
        <w:pStyle w:val="Normal"/>
        <w:keepNext w:val="true"/>
        <w:numPr>
          <w:ilvl w:val="0"/>
          <w:numId w:val="5"/>
        </w:numPr>
        <w:spacing w:before="240" w:after="0"/>
        <w:rPr>
          <w:b/>
          <w:sz w:val="26"/>
        </w:rPr>
      </w:pPr>
      <w:r>
        <w:rPr>
          <w:b/>
          <w:sz w:val="26"/>
        </w:rPr>
        <w:t xml:space="preserve">California League of Food Processors  </w:t>
      </w:r>
      <w:r>
        <w:rPr>
          <w:sz w:val="26"/>
        </w:rPr>
        <w:t>(Ed Yates)</w:t>
      </w:r>
    </w:p>
    <w:p>
      <w:pPr>
        <w:pStyle w:val="Normal"/>
        <w:numPr>
          <w:ilvl w:val="1"/>
          <w:numId w:val="5"/>
        </w:numPr>
        <w:rPr>
          <w:sz w:val="26"/>
        </w:rPr>
      </w:pPr>
      <w:r>
        <w:rPr>
          <w:sz w:val="26"/>
        </w:rPr>
        <w:t>From above:  A.2.3.4., B., C.4.5.6., G.1.3., K.1.2., M.1., R. and V.</w:t>
      </w:r>
    </w:p>
    <w:p>
      <w:pPr>
        <w:pStyle w:val="Normal"/>
        <w:numPr>
          <w:ilvl w:val="1"/>
          <w:numId w:val="5"/>
        </w:numPr>
        <w:rPr>
          <w:sz w:val="26"/>
        </w:rPr>
      </w:pPr>
      <w:r>
        <w:rPr>
          <w:sz w:val="26"/>
        </w:rPr>
        <w:t>Seasonal rates for distribution</w:t>
      </w:r>
    </w:p>
    <w:p>
      <w:pPr>
        <w:pStyle w:val="Normal"/>
        <w:numPr>
          <w:ilvl w:val="1"/>
          <w:numId w:val="5"/>
        </w:numPr>
        <w:rPr>
          <w:sz w:val="26"/>
        </w:rPr>
      </w:pPr>
      <w:r>
        <w:rPr>
          <w:sz w:val="26"/>
        </w:rPr>
        <w:t>Optimal service/billing options for seasonal customers</w:t>
      </w:r>
    </w:p>
    <w:p>
      <w:pPr>
        <w:pStyle w:val="Normal"/>
        <w:numPr>
          <w:ilvl w:val="1"/>
          <w:numId w:val="5"/>
        </w:numPr>
        <w:rPr>
          <w:sz w:val="26"/>
        </w:rPr>
      </w:pPr>
      <w:r>
        <w:rPr>
          <w:sz w:val="26"/>
        </w:rPr>
        <w:t xml:space="preserve">Flexibility - seasonal capacity </w:t>
      </w:r>
    </w:p>
    <w:p>
      <w:pPr>
        <w:pStyle w:val="Normal"/>
        <w:keepNext w:val="true"/>
        <w:numPr>
          <w:ilvl w:val="0"/>
          <w:numId w:val="5"/>
        </w:numPr>
        <w:spacing w:before="240" w:after="0"/>
        <w:rPr>
          <w:b/>
          <w:sz w:val="26"/>
        </w:rPr>
      </w:pPr>
      <w:r>
        <w:rPr>
          <w:b/>
          <w:sz w:val="26"/>
        </w:rPr>
        <w:t xml:space="preserve">Indicated Producers  </w:t>
      </w:r>
      <w:r>
        <w:rPr>
          <w:sz w:val="26"/>
        </w:rPr>
        <w:t>(Evelyn Elsesser, Liz Westby)</w:t>
      </w:r>
    </w:p>
    <w:p>
      <w:pPr>
        <w:pStyle w:val="Normal"/>
        <w:ind w:start="432" w:end="0"/>
        <w:rPr>
          <w:sz w:val="26"/>
        </w:rPr>
      </w:pPr>
      <w:r>
        <w:rPr>
          <w:sz w:val="26"/>
        </w:rPr>
        <w:t xml:space="preserve">Aera Energy, BP Energy Company, Burlington Resources, Chevron, Occidental Petroleum and Texaco, will be participating collectively through the Indicated Producers group.  </w:t>
      </w:r>
      <w:r>
        <w:rPr>
          <w:sz w:val="26"/>
          <w:u w:val="single"/>
        </w:rPr>
        <w:t>Indicated Producers have also provided an initial position paper dated November 15, 2000.</w:t>
      </w:r>
    </w:p>
    <w:p>
      <w:pPr>
        <w:pStyle w:val="Normal"/>
        <w:numPr>
          <w:ilvl w:val="1"/>
          <w:numId w:val="5"/>
        </w:numPr>
        <w:rPr>
          <w:sz w:val="26"/>
        </w:rPr>
      </w:pPr>
      <w:r>
        <w:rPr>
          <w:sz w:val="26"/>
        </w:rPr>
        <w:t>Intrastate Capacity Allocation:  Designing the transportation services (e.g., bundled/unbundled, path-specific or postage-stamp, etc.) and allocating the available capacity.</w:t>
      </w:r>
    </w:p>
    <w:p>
      <w:pPr>
        <w:pStyle w:val="Normal"/>
        <w:numPr>
          <w:ilvl w:val="1"/>
          <w:numId w:val="5"/>
        </w:numPr>
        <w:rPr>
          <w:sz w:val="26"/>
        </w:rPr>
      </w:pPr>
      <w:r>
        <w:rPr>
          <w:sz w:val="26"/>
        </w:rPr>
        <w:t xml:space="preserve">Market Power Mitigation:  Implementing safeguards in capacity allocation to protect against market concentration. </w:t>
      </w:r>
    </w:p>
    <w:p>
      <w:pPr>
        <w:pStyle w:val="Normal"/>
        <w:numPr>
          <w:ilvl w:val="1"/>
          <w:numId w:val="5"/>
        </w:numPr>
        <w:rPr>
          <w:sz w:val="26"/>
        </w:rPr>
      </w:pPr>
      <w:r>
        <w:rPr>
          <w:sz w:val="26"/>
        </w:rPr>
        <w:t>Transparency:  Determining the extent to which transportation volumes and prices should be made available to the public and with what frequency.</w:t>
      </w:r>
    </w:p>
    <w:p>
      <w:pPr>
        <w:pStyle w:val="Normal"/>
        <w:numPr>
          <w:ilvl w:val="1"/>
          <w:numId w:val="5"/>
        </w:numPr>
        <w:rPr>
          <w:sz w:val="26"/>
        </w:rPr>
      </w:pPr>
      <w:r>
        <w:rPr>
          <w:sz w:val="26"/>
        </w:rPr>
        <w:t>Discounting:  Prescribing the terms and conditions under which PG&amp;E can discount transportation rates.</w:t>
      </w:r>
    </w:p>
    <w:p>
      <w:pPr>
        <w:pStyle w:val="Normal"/>
        <w:numPr>
          <w:ilvl w:val="1"/>
          <w:numId w:val="5"/>
        </w:numPr>
        <w:rPr>
          <w:sz w:val="26"/>
        </w:rPr>
      </w:pPr>
      <w:r>
        <w:rPr>
          <w:sz w:val="26"/>
        </w:rPr>
        <w:t xml:space="preserve">Rates:  Determining rate design and, to the extent transportation is path-specific, establishing path differentials.  </w:t>
      </w:r>
    </w:p>
    <w:p>
      <w:pPr>
        <w:pStyle w:val="Normal"/>
        <w:numPr>
          <w:ilvl w:val="1"/>
          <w:numId w:val="5"/>
        </w:numPr>
        <w:rPr>
          <w:sz w:val="26"/>
        </w:rPr>
      </w:pPr>
      <w:r>
        <w:rPr>
          <w:sz w:val="26"/>
        </w:rPr>
        <w:t>Lines 400/401:  Reconsidering whether Line 401 should be priced on an incremental basis.</w:t>
      </w:r>
    </w:p>
    <w:p>
      <w:pPr>
        <w:pStyle w:val="Normal"/>
        <w:numPr>
          <w:ilvl w:val="1"/>
          <w:numId w:val="5"/>
        </w:numPr>
        <w:rPr>
          <w:sz w:val="26"/>
        </w:rPr>
      </w:pPr>
      <w:r>
        <w:rPr>
          <w:sz w:val="26"/>
        </w:rPr>
        <w:t xml:space="preserve">Contracts:  Determining how to integrate existing contracts into a new regulatory framework.  </w:t>
      </w:r>
    </w:p>
    <w:p>
      <w:pPr>
        <w:pStyle w:val="Normal"/>
        <w:numPr>
          <w:ilvl w:val="1"/>
          <w:numId w:val="5"/>
        </w:numPr>
        <w:rPr>
          <w:sz w:val="26"/>
        </w:rPr>
      </w:pPr>
      <w:r>
        <w:rPr>
          <w:sz w:val="26"/>
        </w:rPr>
        <w:t xml:space="preserve">Interutility Rate:  Considering the terms, conditions and rates for interutility transportation.  </w:t>
      </w:r>
    </w:p>
    <w:p>
      <w:pPr>
        <w:pStyle w:val="Normal"/>
        <w:numPr>
          <w:ilvl w:val="1"/>
          <w:numId w:val="5"/>
        </w:numPr>
        <w:rPr>
          <w:sz w:val="26"/>
        </w:rPr>
      </w:pPr>
      <w:r>
        <w:rPr>
          <w:sz w:val="26"/>
        </w:rPr>
        <w:t>Wheeler Ridge:  Considering transportation arrangements through Wheeler Ridge only to the extent issues remain after the approval of the SoCalGas Comprehensive Settlement.</w:t>
      </w:r>
    </w:p>
    <w:p>
      <w:pPr>
        <w:pStyle w:val="Normal"/>
        <w:numPr>
          <w:ilvl w:val="1"/>
          <w:numId w:val="5"/>
        </w:numPr>
        <w:rPr>
          <w:sz w:val="26"/>
        </w:rPr>
      </w:pPr>
      <w:r>
        <w:rPr>
          <w:sz w:val="26"/>
        </w:rPr>
        <w:t>Storage:  Developing terms and conditions for the allocation of storage capacity.</w:t>
      </w:r>
    </w:p>
    <w:p>
      <w:pPr>
        <w:pStyle w:val="Normal"/>
        <w:numPr>
          <w:ilvl w:val="1"/>
          <w:numId w:val="5"/>
        </w:numPr>
        <w:rPr>
          <w:sz w:val="26"/>
        </w:rPr>
      </w:pPr>
      <w:r>
        <w:rPr>
          <w:sz w:val="26"/>
        </w:rPr>
        <w:t>OFOs, Balancing and Trading:  Revisiting rules for OFOs, balancing rules and imbalance trading procedures.</w:t>
      </w:r>
    </w:p>
    <w:p>
      <w:pPr>
        <w:pStyle w:val="Normal"/>
        <w:numPr>
          <w:ilvl w:val="1"/>
          <w:numId w:val="5"/>
        </w:numPr>
        <w:rPr>
          <w:sz w:val="26"/>
        </w:rPr>
      </w:pPr>
      <w:r>
        <w:rPr>
          <w:sz w:val="26"/>
        </w:rPr>
        <w:t>Gathering Systems:  Assessing physical operations and financial issues related to gas gathering on the PG&amp;E system.</w:t>
      </w:r>
    </w:p>
    <w:p>
      <w:pPr>
        <w:pStyle w:val="Normal"/>
        <w:keepNext w:val="true"/>
        <w:spacing w:before="240" w:after="0"/>
        <w:rPr>
          <w:b/>
          <w:sz w:val="26"/>
        </w:rPr>
      </w:pPr>
      <w:r>
        <w:rPr>
          <w:b/>
          <w:sz w:val="26"/>
        </w:rPr>
        <w:t>X.</w:t>
        <w:tab/>
        <w:t xml:space="preserve">Indicated Producers  </w:t>
      </w:r>
      <w:r>
        <w:rPr>
          <w:sz w:val="26"/>
        </w:rPr>
        <w:t>(continued)</w:t>
      </w:r>
    </w:p>
    <w:p>
      <w:pPr>
        <w:pStyle w:val="Normal"/>
        <w:numPr>
          <w:ilvl w:val="1"/>
          <w:numId w:val="5"/>
        </w:numPr>
        <w:rPr>
          <w:sz w:val="26"/>
        </w:rPr>
      </w:pPr>
      <w:r>
        <w:rPr>
          <w:sz w:val="26"/>
        </w:rPr>
        <w:t>Core Procurement:   Revisiting allocation of capacity at Malin and Southwest border to core procurement function.</w:t>
      </w:r>
    </w:p>
    <w:p>
      <w:pPr>
        <w:pStyle w:val="Normal"/>
        <w:numPr>
          <w:ilvl w:val="1"/>
          <w:numId w:val="5"/>
        </w:numPr>
        <w:rPr>
          <w:sz w:val="26"/>
        </w:rPr>
      </w:pPr>
      <w:r>
        <w:rPr>
          <w:sz w:val="26"/>
        </w:rPr>
        <w:t>Golden Gate Market Center:  Reviewing the terms and conditions of service and benefits to customers.</w:t>
      </w:r>
    </w:p>
    <w:p>
      <w:pPr>
        <w:pStyle w:val="Normal"/>
        <w:keepNext w:val="true"/>
        <w:numPr>
          <w:ilvl w:val="0"/>
          <w:numId w:val="5"/>
        </w:numPr>
        <w:spacing w:before="240" w:after="0"/>
        <w:rPr>
          <w:b/>
          <w:sz w:val="26"/>
        </w:rPr>
      </w:pPr>
      <w:r>
        <w:rPr>
          <w:b/>
          <w:sz w:val="26"/>
        </w:rPr>
        <w:t xml:space="preserve">Duke Energy North America (DENA)  </w:t>
      </w:r>
      <w:r>
        <w:rPr>
          <w:sz w:val="26"/>
        </w:rPr>
        <w:t>(Carolyn Baker, Alan Comnes)</w:t>
      </w:r>
    </w:p>
    <w:p>
      <w:pPr>
        <w:pStyle w:val="Normal"/>
        <w:numPr>
          <w:ilvl w:val="1"/>
          <w:numId w:val="5"/>
        </w:numPr>
        <w:rPr>
          <w:sz w:val="26"/>
        </w:rPr>
      </w:pPr>
      <w:r>
        <w:rPr>
          <w:sz w:val="26"/>
        </w:rPr>
        <w:t>Clear procedures for allocating firm transmission capacity on the PG&amp;E system.</w:t>
      </w:r>
    </w:p>
    <w:p>
      <w:pPr>
        <w:pStyle w:val="Normal"/>
        <w:numPr>
          <w:ilvl w:val="1"/>
          <w:numId w:val="5"/>
        </w:numPr>
        <w:rPr>
          <w:sz w:val="26"/>
        </w:rPr>
      </w:pPr>
      <w:r>
        <w:rPr>
          <w:sz w:val="26"/>
        </w:rPr>
        <w:t>The development of transportation rates that promote competitive and reliable generation markets.</w:t>
      </w:r>
    </w:p>
    <w:p>
      <w:pPr>
        <w:pStyle w:val="Normal"/>
        <w:numPr>
          <w:ilvl w:val="1"/>
          <w:numId w:val="5"/>
        </w:numPr>
        <w:rPr>
          <w:sz w:val="26"/>
        </w:rPr>
      </w:pPr>
      <w:r>
        <w:rPr>
          <w:sz w:val="26"/>
        </w:rPr>
        <w:t>Transmission system reliability, design standards, and curtailment provisions.</w:t>
      </w:r>
    </w:p>
    <w:p>
      <w:pPr>
        <w:pStyle w:val="Normal"/>
        <w:numPr>
          <w:ilvl w:val="1"/>
          <w:numId w:val="5"/>
        </w:numPr>
        <w:rPr>
          <w:sz w:val="26"/>
        </w:rPr>
      </w:pPr>
      <w:r>
        <w:rPr>
          <w:sz w:val="26"/>
        </w:rPr>
        <w:t>Interconnection policies, terms, and conditions.</w:t>
      </w:r>
    </w:p>
    <w:p>
      <w:pPr>
        <w:pStyle w:val="Normal"/>
        <w:numPr>
          <w:ilvl w:val="1"/>
          <w:numId w:val="5"/>
        </w:numPr>
        <w:rPr>
          <w:sz w:val="26"/>
        </w:rPr>
      </w:pPr>
      <w:r>
        <w:rPr>
          <w:sz w:val="26"/>
        </w:rPr>
        <w:t>The definition of PG&amp;E facilities as "backbone" and "local transmission."</w:t>
      </w:r>
    </w:p>
    <w:p>
      <w:pPr>
        <w:pStyle w:val="Normal"/>
        <w:numPr>
          <w:ilvl w:val="1"/>
          <w:numId w:val="5"/>
        </w:numPr>
        <w:rPr>
          <w:sz w:val="26"/>
        </w:rPr>
      </w:pPr>
      <w:r>
        <w:rPr>
          <w:sz w:val="26"/>
        </w:rPr>
        <w:t>Electric generator class transportation rate design, including an exploration of alternative rate designs such as postage stamp rates and declining block rates.</w:t>
      </w:r>
    </w:p>
    <w:p>
      <w:pPr>
        <w:pStyle w:val="Normal"/>
        <w:numPr>
          <w:ilvl w:val="1"/>
          <w:numId w:val="5"/>
        </w:numPr>
        <w:rPr>
          <w:sz w:val="26"/>
        </w:rPr>
      </w:pPr>
      <w:r>
        <w:rPr>
          <w:sz w:val="26"/>
        </w:rPr>
        <w:t>Protection of proprietary, customer-specific information.</w:t>
      </w:r>
    </w:p>
    <w:p>
      <w:pPr>
        <w:pStyle w:val="Normal"/>
        <w:keepNext w:val="true"/>
        <w:numPr>
          <w:ilvl w:val="0"/>
          <w:numId w:val="5"/>
        </w:numPr>
        <w:spacing w:before="240" w:after="0"/>
        <w:rPr>
          <w:b/>
          <w:sz w:val="26"/>
        </w:rPr>
      </w:pPr>
      <w:r>
        <w:rPr>
          <w:b/>
          <w:sz w:val="26"/>
        </w:rPr>
        <w:t xml:space="preserve">Western Hub Properties/Lodi Gas Storage  </w:t>
      </w:r>
      <w:r>
        <w:rPr>
          <w:sz w:val="26"/>
        </w:rPr>
        <w:t>(Jim Fossum)</w:t>
      </w:r>
    </w:p>
    <w:p>
      <w:pPr>
        <w:pStyle w:val="BodyTextIndent"/>
        <w:ind w:hanging="0" w:start="432" w:end="0"/>
        <w:rPr>
          <w:sz w:val="26"/>
        </w:rPr>
      </w:pPr>
      <w:r>
        <w:rPr>
          <w:sz w:val="26"/>
        </w:rPr>
        <w:t>Every issue should be looked at from following perspectives:</w:t>
      </w:r>
    </w:p>
    <w:p>
      <w:pPr>
        <w:pStyle w:val="BodyTextIndent"/>
        <w:numPr>
          <w:ilvl w:val="0"/>
          <w:numId w:val="4"/>
        </w:numPr>
        <w:tabs>
          <w:tab w:val="clear" w:pos="432"/>
          <w:tab w:val="left" w:pos="1872" w:leader="none"/>
        </w:tabs>
        <w:ind w:hanging="360" w:start="1872" w:end="0"/>
        <w:rPr>
          <w:sz w:val="26"/>
        </w:rPr>
      </w:pPr>
      <w:r>
        <w:rPr>
          <w:sz w:val="26"/>
        </w:rPr>
        <w:t>Is the service completely unbundled?</w:t>
      </w:r>
    </w:p>
    <w:p>
      <w:pPr>
        <w:pStyle w:val="BodyTextIndent"/>
        <w:numPr>
          <w:ilvl w:val="0"/>
          <w:numId w:val="4"/>
        </w:numPr>
        <w:tabs>
          <w:tab w:val="clear" w:pos="432"/>
          <w:tab w:val="left" w:pos="1872" w:leader="none"/>
        </w:tabs>
        <w:ind w:hanging="360" w:start="1872" w:end="0"/>
        <w:rPr>
          <w:sz w:val="26"/>
        </w:rPr>
      </w:pPr>
      <w:r>
        <w:rPr>
          <w:sz w:val="26"/>
        </w:rPr>
        <w:t>Is the user paying the full cost of this service?</w:t>
      </w:r>
    </w:p>
    <w:p>
      <w:pPr>
        <w:pStyle w:val="BodyTextIndent"/>
        <w:numPr>
          <w:ilvl w:val="0"/>
          <w:numId w:val="4"/>
        </w:numPr>
        <w:tabs>
          <w:tab w:val="clear" w:pos="432"/>
          <w:tab w:val="left" w:pos="1872" w:leader="none"/>
        </w:tabs>
        <w:ind w:hanging="360" w:start="1872" w:end="0"/>
        <w:rPr>
          <w:sz w:val="26"/>
        </w:rPr>
      </w:pPr>
      <w:r>
        <w:rPr>
          <w:sz w:val="26"/>
        </w:rPr>
        <w:t>Is PG&amp;E receiving a fair return on its investment for this service?</w:t>
      </w:r>
    </w:p>
    <w:p>
      <w:pPr>
        <w:pStyle w:val="BodyTextIndent"/>
        <w:ind w:hanging="0" w:start="432" w:end="0"/>
        <w:rPr>
          <w:sz w:val="26"/>
        </w:rPr>
      </w:pPr>
      <w:r>
        <w:rPr>
          <w:sz w:val="26"/>
        </w:rPr>
        <w:t>If the answer to all of these questions is yes, then the issue has been appropriately resolved.  If not, a solution needs to be found that provides a yes to each question.</w:t>
      </w:r>
    </w:p>
    <w:p>
      <w:pPr>
        <w:pStyle w:val="Normal"/>
        <w:numPr>
          <w:ilvl w:val="1"/>
          <w:numId w:val="5"/>
        </w:numPr>
        <w:rPr>
          <w:sz w:val="26"/>
        </w:rPr>
      </w:pPr>
      <w:r>
        <w:rPr>
          <w:sz w:val="26"/>
        </w:rPr>
        <w:t>A formula should be established for the allocation of firm capacity.  The capacity should be subject to review and renewal at some reasonable interval.</w:t>
      </w:r>
    </w:p>
    <w:p>
      <w:pPr>
        <w:pStyle w:val="Normal"/>
        <w:numPr>
          <w:ilvl w:val="1"/>
          <w:numId w:val="5"/>
        </w:numPr>
        <w:rPr>
          <w:sz w:val="26"/>
        </w:rPr>
      </w:pPr>
      <w:r>
        <w:rPr>
          <w:sz w:val="26"/>
        </w:rPr>
        <w:t>Interruptible transmission should be sold on a daily basis.</w:t>
      </w:r>
    </w:p>
    <w:p>
      <w:pPr>
        <w:pStyle w:val="Normal"/>
        <w:numPr>
          <w:ilvl w:val="1"/>
          <w:numId w:val="5"/>
        </w:numPr>
        <w:rPr>
          <w:sz w:val="26"/>
        </w:rPr>
      </w:pPr>
      <w:r>
        <w:rPr>
          <w:sz w:val="26"/>
        </w:rPr>
        <w:t>Customers should be permitted to receive gas from PG&amp;E at either the backbone system or the local distribution system and should be charged accordingly.</w:t>
      </w:r>
    </w:p>
    <w:p>
      <w:pPr>
        <w:pStyle w:val="Normal"/>
        <w:numPr>
          <w:ilvl w:val="1"/>
          <w:numId w:val="5"/>
        </w:numPr>
        <w:rPr>
          <w:sz w:val="26"/>
        </w:rPr>
      </w:pPr>
      <w:r>
        <w:rPr>
          <w:sz w:val="26"/>
        </w:rPr>
        <w:t>Charges for transportation should be based on the cost of transmission plus a reasonable rate of return for PG&amp;E.</w:t>
      </w:r>
    </w:p>
    <w:p>
      <w:pPr>
        <w:pStyle w:val="Normal"/>
        <w:numPr>
          <w:ilvl w:val="1"/>
          <w:numId w:val="5"/>
        </w:numPr>
        <w:rPr>
          <w:sz w:val="26"/>
        </w:rPr>
      </w:pPr>
      <w:r>
        <w:rPr>
          <w:sz w:val="26"/>
        </w:rPr>
        <w:t>If PG&amp;E can reduce cost, the saving should be shared between the ratepayer and PG&amp;E.</w:t>
      </w:r>
      <w:r>
        <w:br w:type="page"/>
      </w:r>
    </w:p>
    <w:p>
      <w:pPr>
        <w:pStyle w:val="Normal"/>
        <w:keepNext w:val="true"/>
        <w:spacing w:before="240" w:after="0"/>
        <w:rPr>
          <w:b/>
          <w:sz w:val="26"/>
        </w:rPr>
      </w:pPr>
      <w:r>
        <w:rPr>
          <w:b/>
          <w:sz w:val="26"/>
        </w:rPr>
        <w:t>Z.</w:t>
        <w:tab/>
        <w:t xml:space="preserve">Western Hub Properties/Lodi Gas Storage  </w:t>
      </w:r>
      <w:r>
        <w:rPr>
          <w:sz w:val="26"/>
        </w:rPr>
        <w:t>(continued)</w:t>
      </w:r>
    </w:p>
    <w:p>
      <w:pPr>
        <w:pStyle w:val="Normal"/>
        <w:numPr>
          <w:ilvl w:val="1"/>
          <w:numId w:val="5"/>
        </w:numPr>
        <w:rPr>
          <w:sz w:val="26"/>
        </w:rPr>
      </w:pPr>
      <w:r>
        <w:rPr>
          <w:sz w:val="26"/>
        </w:rPr>
        <w:t>A specification for interconnects and meters should be established by PG&amp;E and should be subject to revision as technology advances.  Any firm should be allowed to design, construct and own an interconnect, including the associated meter.</w:t>
      </w:r>
    </w:p>
    <w:p>
      <w:pPr>
        <w:pStyle w:val="Normal"/>
        <w:numPr>
          <w:ilvl w:val="1"/>
          <w:numId w:val="5"/>
        </w:numPr>
        <w:rPr>
          <w:sz w:val="26"/>
        </w:rPr>
      </w:pPr>
      <w:r>
        <w:rPr>
          <w:sz w:val="26"/>
        </w:rPr>
        <w:t xml:space="preserve">If PG&amp;E is asked to design and construct an interconnect, it should be paid the actual costs plus a reasonable return for engineering and construction. </w:t>
      </w:r>
    </w:p>
    <w:p>
      <w:pPr>
        <w:pStyle w:val="Normal"/>
        <w:numPr>
          <w:ilvl w:val="1"/>
          <w:numId w:val="5"/>
        </w:numPr>
        <w:rPr>
          <w:sz w:val="26"/>
        </w:rPr>
      </w:pPr>
      <w:r>
        <w:rPr>
          <w:sz w:val="26"/>
        </w:rPr>
        <w:t>No limitation should be placed on intraday nominations within the firm rights of a transporter or for an interruptible customer the availability of capacity.</w:t>
      </w:r>
    </w:p>
    <w:p>
      <w:pPr>
        <w:pStyle w:val="Normal"/>
        <w:numPr>
          <w:ilvl w:val="1"/>
          <w:numId w:val="5"/>
        </w:numPr>
        <w:rPr>
          <w:sz w:val="26"/>
        </w:rPr>
      </w:pPr>
      <w:r>
        <w:rPr>
          <w:sz w:val="26"/>
        </w:rPr>
        <w:t>PG&amp;E should provide real time data on pipeline volumes (receipts by point, deliveries, volumes in backbone systems).</w:t>
      </w:r>
    </w:p>
    <w:p>
      <w:pPr>
        <w:pStyle w:val="Normal"/>
        <w:numPr>
          <w:ilvl w:val="1"/>
          <w:numId w:val="5"/>
        </w:numPr>
        <w:rPr>
          <w:sz w:val="26"/>
        </w:rPr>
      </w:pPr>
      <w:r>
        <w:rPr>
          <w:sz w:val="26"/>
        </w:rPr>
        <w:t>Balancing should be within a narrow window and should be daily.</w:t>
      </w:r>
    </w:p>
    <w:p>
      <w:pPr>
        <w:pStyle w:val="Normal"/>
        <w:numPr>
          <w:ilvl w:val="1"/>
          <w:numId w:val="5"/>
        </w:numPr>
        <w:rPr>
          <w:sz w:val="26"/>
        </w:rPr>
      </w:pPr>
      <w:r>
        <w:rPr>
          <w:sz w:val="26"/>
        </w:rPr>
        <w:t>PG&amp;E should not set aside a volume of storage for pipeline balancing except as necessary to meet within the day operating requirements.  To do so is an example of subsidization of services and costs.</w:t>
      </w:r>
    </w:p>
    <w:p>
      <w:pPr>
        <w:pStyle w:val="Normal"/>
        <w:numPr>
          <w:ilvl w:val="1"/>
          <w:numId w:val="5"/>
        </w:numPr>
        <w:rPr>
          <w:sz w:val="26"/>
        </w:rPr>
      </w:pPr>
      <w:r>
        <w:rPr>
          <w:sz w:val="26"/>
        </w:rPr>
        <w:t>The PG&amp;E market center should not be provided information on transportation prior to any other provider of hub services.</w:t>
      </w:r>
    </w:p>
    <w:p>
      <w:pPr>
        <w:pStyle w:val="Normal"/>
        <w:keepNext w:val="true"/>
        <w:numPr>
          <w:ilvl w:val="0"/>
          <w:numId w:val="5"/>
        </w:numPr>
        <w:spacing w:before="240" w:after="0"/>
        <w:rPr>
          <w:b/>
          <w:sz w:val="26"/>
        </w:rPr>
      </w:pPr>
      <w:r>
        <w:rPr>
          <w:b/>
          <w:sz w:val="26"/>
        </w:rPr>
        <w:t xml:space="preserve">Coalition of California Utility Employees  </w:t>
      </w:r>
      <w:r>
        <w:rPr>
          <w:sz w:val="26"/>
        </w:rPr>
        <w:t>(Marc Joseph)</w:t>
      </w:r>
    </w:p>
    <w:p>
      <w:pPr>
        <w:pStyle w:val="Normal"/>
        <w:numPr>
          <w:ilvl w:val="1"/>
          <w:numId w:val="5"/>
        </w:numPr>
        <w:rPr>
          <w:sz w:val="26"/>
        </w:rPr>
      </w:pPr>
      <w:r>
        <w:rPr>
          <w:sz w:val="26"/>
        </w:rPr>
        <w:t>No revisions to AB1421.</w:t>
      </w:r>
    </w:p>
    <w:p>
      <w:pPr>
        <w:pStyle w:val="Normal"/>
        <w:numPr>
          <w:ilvl w:val="1"/>
          <w:numId w:val="5"/>
        </w:numPr>
        <w:rPr>
          <w:sz w:val="26"/>
        </w:rPr>
      </w:pPr>
      <w:r>
        <w:rPr>
          <w:sz w:val="26"/>
        </w:rPr>
        <w:t>PG&amp;E remains the default provider of core procurement services.</w:t>
      </w:r>
    </w:p>
    <w:p>
      <w:pPr>
        <w:pStyle w:val="Normal"/>
        <w:numPr>
          <w:ilvl w:val="1"/>
          <w:numId w:val="5"/>
        </w:numPr>
        <w:rPr>
          <w:sz w:val="26"/>
        </w:rPr>
      </w:pPr>
      <w:r>
        <w:rPr>
          <w:sz w:val="26"/>
        </w:rPr>
        <w:t>Do not modify the current core aggregation program to include new subsidies, such as “shopping credits” which create a rebate for customers who sign up with a core aggregator.</w:t>
      </w:r>
    </w:p>
    <w:p>
      <w:pPr>
        <w:pStyle w:val="Normal"/>
        <w:keepNext w:val="true"/>
        <w:numPr>
          <w:ilvl w:val="0"/>
          <w:numId w:val="5"/>
        </w:numPr>
        <w:spacing w:before="240" w:after="0"/>
        <w:rPr>
          <w:b/>
          <w:sz w:val="26"/>
        </w:rPr>
      </w:pPr>
      <w:r>
        <w:rPr>
          <w:b/>
          <w:sz w:val="26"/>
        </w:rPr>
        <w:tab/>
        <w:t xml:space="preserve">State of New Mexico  </w:t>
      </w:r>
      <w:r>
        <w:rPr>
          <w:bCs/>
          <w:sz w:val="26"/>
        </w:rPr>
        <w:t>(Ed Poole)</w:t>
      </w:r>
    </w:p>
    <w:p>
      <w:pPr>
        <w:pStyle w:val="Normal"/>
        <w:numPr>
          <w:ilvl w:val="1"/>
          <w:numId w:val="5"/>
        </w:numPr>
        <w:rPr>
          <w:sz w:val="26"/>
        </w:rPr>
      </w:pPr>
      <w:r>
        <w:rPr>
          <w:sz w:val="26"/>
        </w:rPr>
        <w:t>Retention of path specific rates.</w:t>
      </w:r>
    </w:p>
    <w:p>
      <w:pPr>
        <w:pStyle w:val="Normal"/>
        <w:numPr>
          <w:ilvl w:val="1"/>
          <w:numId w:val="5"/>
        </w:numPr>
        <w:rPr>
          <w:sz w:val="26"/>
        </w:rPr>
      </w:pPr>
      <w:r>
        <w:rPr>
          <w:sz w:val="26"/>
        </w:rPr>
        <w:t>Retention of the current discount rule with respect to sales of discounted L401 capacity.</w:t>
      </w:r>
    </w:p>
    <w:p>
      <w:pPr>
        <w:pStyle w:val="Normal"/>
        <w:rPr>
          <w:sz w:val="26"/>
        </w:rPr>
      </w:pPr>
      <w:r>
        <w:rPr>
          <w:sz w:val="26"/>
        </w:rPr>
      </w:r>
    </w:p>
    <w:p>
      <w:pPr>
        <w:pStyle w:val="Normal"/>
        <w:rPr>
          <w:sz w:val="26"/>
        </w:rPr>
      </w:pPr>
      <w:r>
        <w:rPr>
          <w:sz w:val="26"/>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BernhardMod BT">
    <w:charset w:val="00" w:characterSet="windows-1252"/>
    <w:family w:val="roman"/>
    <w:pitch w:val="default"/>
  </w:font>
  <w:font w:name="Bookman Old Style">
    <w:charset w:val="00" w:characterSet="windows-125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Confidential – Prepared for Settlement Discussions Pursuant to CPUC Rule 51</w:t>
    </w:r>
  </w:p>
  <w:p>
    <w:pPr>
      <w:pStyle w:val="Header"/>
      <w:jc w:val="end"/>
      <w:rPr>
        <w:sz w:val="20"/>
      </w:rPr>
    </w:pPr>
    <w:r>
      <w:rPr>
        <w:sz w:val="20"/>
      </w:rPr>
      <w:t>For Internal Use Only</w:t>
    </w:r>
  </w:p>
  <w:p>
    <w:pPr>
      <w:pStyle w:val="Normal"/>
      <w:rPr>
        <w:rFonts w:ascii="BernhardMod BT" w:hAnsi="BernhardMod BT" w:cs="BernhardMod BT"/>
        <w:b/>
        <w:i/>
        <w:i/>
        <w:sz w:val="26"/>
      </w:rPr>
    </w:pPr>
    <w:r>
      <w:rPr>
        <w:rFonts w:cs="BernhardMod BT" w:ascii="BernhardMod BT" w:hAnsi="BernhardMod BT"/>
        <w:b/>
        <w:i/>
        <w:sz w:val="26"/>
      </w:rPr>
      <w:t>Gas Accord II Settlement</w:t>
    </w:r>
  </w:p>
  <w:p>
    <w:pPr>
      <w:pStyle w:val="Normal"/>
      <w:rPr>
        <w:rFonts w:ascii="Bookman Old Style" w:hAnsi="Bookman Old Style" w:cs="Bookman Old Style"/>
        <w:b/>
        <w:i/>
        <w:i/>
        <w:sz w:val="26"/>
      </w:rPr>
    </w:pPr>
    <w:r>
      <w:rPr>
        <w:rFonts w:cs="Bookman Old Style" w:ascii="Bookman Old Style" w:hAnsi="Bookman Old Style"/>
        <w:b/>
        <w:i/>
        <w:sz w:val="26"/>
      </w:rPr>
      <w:fldChar w:fldCharType="begin"/>
    </w:r>
    <w:r>
      <w:rPr>
        <w:sz w:val="26"/>
        <w:i/>
        <w:b/>
        <w:rFonts w:cs="Bookman Old Style" w:ascii="Bookman Old Style" w:hAnsi="Bookman Old Style"/>
      </w:rPr>
      <w:instrText xml:space="preserve"> REF DocTitle \h </w:instrText>
    </w:r>
    <w:r>
      <w:rPr>
        <w:sz w:val="26"/>
        <w:i/>
        <w:b/>
        <w:rFonts w:cs="Bookman Old Style" w:ascii="Bookman Old Style" w:hAnsi="Bookman Old Style"/>
      </w:rPr>
      <w:fldChar w:fldCharType="separate"/>
    </w:r>
    <w:r>
      <w:rPr>
        <w:sz w:val="26"/>
        <w:i/>
        <w:b/>
        <w:rFonts w:cs="Bookman Old Style" w:ascii="Bookman Old Style" w:hAnsi="Bookman Old Style"/>
      </w:rPr>
      <w:t>Issues For Gas Accord II</w:t>
    </w:r>
    <w:r>
      <w:rPr>
        <w:sz w:val="26"/>
        <w:i/>
        <w:b/>
        <w:rFonts w:cs="Bookman Old Style" w:ascii="Bookman Old Style" w:hAnsi="Bookman Old Style"/>
      </w:rPr>
      <w:fldChar w:fldCharType="end"/>
    </w:r>
  </w:p>
  <w:p>
    <w:pPr>
      <w:pStyle w:val="Normal"/>
      <w:rPr>
        <w:rFonts w:ascii="Bookman Old Style" w:hAnsi="Bookman Old Style" w:cs="Bookman Old Style"/>
        <w:b/>
      </w:rPr>
    </w:pPr>
    <w:r>
      <w:rPr>
        <w:rFonts w:cs="Bookman Old Style" w:ascii="Bookman Old Style" w:hAnsi="Bookman Old Style"/>
        <w:b/>
      </w:rPr>
      <w:fldChar w:fldCharType="begin"/>
    </w:r>
    <w:r>
      <w:rPr>
        <w:b/>
        <w:rFonts w:cs="Bookman Old Style" w:ascii="Bookman Old Style" w:hAnsi="Bookman Old Style"/>
      </w:rPr>
      <w:instrText xml:space="preserve"> REF DocDate \h </w:instrText>
    </w:r>
    <w:r>
      <w:rPr>
        <w:b/>
        <w:rFonts w:cs="Bookman Old Style" w:ascii="Bookman Old Style" w:hAnsi="Bookman Old Style"/>
      </w:rPr>
      <w:fldChar w:fldCharType="separate"/>
    </w:r>
    <w:r>
      <w:rPr>
        <w:b/>
        <w:rFonts w:cs="Bookman Old Style" w:ascii="Bookman Old Style" w:hAnsi="Bookman Old Style"/>
      </w:rPr>
      <w:t>November 27, 2000</w:t>
    </w:r>
    <w:r>
      <w:rPr>
        <w:b/>
        <w:rFonts w:cs="Bookman Old Style" w:ascii="Bookman Old Style" w:hAnsi="Bookman Old Style"/>
      </w:rPr>
      <w:fldChar w:fldCharType="end"/>
    </w:r>
  </w:p>
  <w:p>
    <w:pPr>
      <w:pStyle w:val="Header"/>
      <w:rPr>
        <w:rFonts w:ascii="Bookman Old Style" w:hAnsi="Bookman Old Style" w:cs="Bookman Old Style"/>
        <w:b/>
      </w:rPr>
    </w:pPr>
    <w:r>
      <w:rPr>
        <w:rFonts w:cs="Bookman Old Style" w:ascii="Bookman Old Style" w:hAnsi="Bookman Old Style"/>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Confidential – Prepared for Settlement Discussions Pursuant to CPUC Rule 51</w:t>
    </w:r>
  </w:p>
  <w:p>
    <w:pPr>
      <w:pStyle w:val="Header"/>
      <w:jc w:val="end"/>
      <w:rPr>
        <w:sz w:val="20"/>
      </w:rPr>
    </w:pPr>
    <w:r>
      <w:rPr>
        <w:sz w:val="20"/>
      </w:rPr>
      <w:t>For Internal Use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bullet"/>
      <w:lvlText w:val=""/>
      <w:lvlJc w:val="start"/>
      <w:pPr>
        <w:tabs>
          <w:tab w:val="num" w:pos="1440"/>
        </w:tabs>
        <w:ind w:start="1440" w:hanging="360"/>
      </w:pPr>
      <w:rPr>
        <w:rFonts w:ascii="Wingdings" w:hAnsi="Wingdings" w:cs="Wingdings" w:hint="default"/>
      </w:rPr>
    </w:lvl>
    <w:lvl w:ilvl="1">
      <w:start w:val="1"/>
      <w:numFmt w:val="bullet"/>
      <w:lvlText w:val="o"/>
      <w:lvlJc w:val="start"/>
      <w:pPr>
        <w:tabs>
          <w:tab w:val="num" w:pos="2160"/>
        </w:tabs>
        <w:ind w:start="2160" w:hanging="360"/>
      </w:pPr>
      <w:rPr>
        <w:rFonts w:ascii="Courier New" w:hAnsi="Courier New" w:cs="Courier New"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5">
    <w:lvl w:ilvl="0">
      <w:start w:val="1"/>
      <w:numFmt w:val="upperLetter"/>
      <w:lvlText w:val="%1."/>
      <w:lvlJc w:val="start"/>
      <w:pPr>
        <w:tabs>
          <w:tab w:val="num" w:pos="432"/>
        </w:tabs>
        <w:ind w:start="432" w:hanging="432"/>
      </w:pPr>
    </w:lvl>
    <w:lvl w:ilvl="1">
      <w:start w:val="1"/>
      <w:numFmt w:val="decimal"/>
      <w:lvlText w:val="%2."/>
      <w:lvlJc w:val="start"/>
      <w:pPr>
        <w:tabs>
          <w:tab w:val="num" w:pos="864"/>
        </w:tabs>
        <w:ind w:start="864" w:hanging="432"/>
      </w:pPr>
    </w:lvl>
    <w:lvl w:ilvl="2">
      <w:start w:val="1"/>
      <w:numFmt w:val="lowerLetter"/>
      <w:lvlText w:val="%3."/>
      <w:lvlJc w:val="start"/>
      <w:pPr>
        <w:tabs>
          <w:tab w:val="num" w:pos="0"/>
        </w:tabs>
        <w:ind w:start="1296" w:hanging="432"/>
      </w:pPr>
    </w:lvl>
    <w:lvl w:ilvl="3">
      <w:start w:val="1"/>
      <w:numFmt w:val="lowerRoman"/>
      <w:lvlText w:val="%4."/>
      <w:lvlJc w:val="start"/>
      <w:pPr>
        <w:tabs>
          <w:tab w:val="num" w:pos="2016"/>
        </w:tabs>
        <w:ind w:start="1728" w:hanging="432"/>
      </w:pPr>
    </w:lvl>
    <w:lvl w:ilvl="4">
      <w:start w:val="1"/>
      <w:numFmt w:val="decimal"/>
      <w:lvlText w:val=".%5"/>
      <w:lvlJc w:val="start"/>
      <w:pPr>
        <w:tabs>
          <w:tab w:val="num" w:pos="0"/>
        </w:tabs>
        <w:ind w:start="2736" w:hanging="1008"/>
      </w:pPr>
    </w:lvl>
    <w:lvl w:ilvl="5">
      <w:start w:val="1"/>
      <w:numFmt w:val="decimal"/>
      <w:lvlText w:val=".%6"/>
      <w:lvlJc w:val="start"/>
      <w:pPr>
        <w:tabs>
          <w:tab w:val="num" w:pos="0"/>
        </w:tabs>
        <w:ind w:start="3888" w:hanging="1152"/>
      </w:pPr>
    </w:lvl>
    <w:lvl w:ilvl="6">
      <w:start w:val="1"/>
      <w:numFmt w:val="decimal"/>
      <w:lvlText w:val=".%7"/>
      <w:lvlJc w:val="start"/>
      <w:pPr>
        <w:tabs>
          <w:tab w:val="num" w:pos="0"/>
        </w:tabs>
        <w:ind w:start="5184" w:hanging="1296"/>
      </w:pPr>
    </w:lvl>
    <w:lvl w:ilvl="7">
      <w:start w:val="1"/>
      <w:numFmt w:val="decimal"/>
      <w:lvlText w:val=".%8"/>
      <w:lvlJc w:val="start"/>
      <w:pPr>
        <w:tabs>
          <w:tab w:val="num" w:pos="0"/>
        </w:tabs>
        <w:ind w:start="6624" w:hanging="1440"/>
      </w:pPr>
    </w:lvl>
    <w:lvl w:ilvl="8">
      <w:start w:val="1"/>
      <w:numFmt w:val="decimal"/>
      <w:lvlText w:val=".%9"/>
      <w:lvlJc w:val="start"/>
      <w:pPr>
        <w:tabs>
          <w:tab w:val="num" w:pos="0"/>
        </w:tabs>
        <w:ind w:start="8208"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432"/>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5z0">
    <w:name w:val="WW8Num5z0"/>
    <w:qFormat/>
    <w:rPr/>
  </w:style>
  <w:style w:type="character" w:styleId="WW8Num7z0">
    <w:name w:val="WW8Num7z0"/>
    <w:qFormat/>
    <w:rPr>
      <w:rFonts w:ascii="Symbol" w:hAnsi="Symbol" w:cs="Symbol"/>
      <w:sz w:val="20"/>
    </w:rPr>
  </w:style>
  <w:style w:type="character" w:styleId="WW8Num8z0">
    <w:name w:val="WW8Num8z0"/>
    <w:qFormat/>
    <w:rPr>
      <w:rFonts w:ascii="Times New Roman Bold;Times New Roman" w:hAnsi="Times New Roman Bold;Times New Roman" w:cs="Times New Roman Bold;Times New Roman"/>
      <w:b/>
      <w:i w:val="false"/>
      <w:sz w:val="26"/>
    </w:rPr>
  </w:style>
  <w:style w:type="character" w:styleId="WW8Num8z1">
    <w:name w:val="WW8Num8z1"/>
    <w:qFormat/>
    <w:rPr>
      <w:rFonts w:ascii="Times New Roman" w:hAnsi="Times New Roman" w:cs="Times New Roman"/>
      <w:b w:val="false"/>
      <w:i w:val="false"/>
      <w:sz w:val="24"/>
    </w:rPr>
  </w:style>
  <w:style w:type="character" w:styleId="WW8Num11z0">
    <w:name w:val="WW8Num11z0"/>
    <w:qFormat/>
    <w:rPr>
      <w:rFonts w:ascii="Symbol" w:hAnsi="Symbol" w:cs="Symbol"/>
      <w:sz w:val="20"/>
    </w:rPr>
  </w:style>
  <w:style w:type="character" w:styleId="WW8Num12z0">
    <w:name w:val="WW8Num12z0"/>
    <w:qFormat/>
    <w:rPr>
      <w:rFonts w:ascii="Symbol" w:hAnsi="Symbol" w:cs="Symbol"/>
      <w:sz w:val="20"/>
    </w:rPr>
  </w:style>
  <w:style w:type="character" w:styleId="WW8Num13z0">
    <w:name w:val="WW8Num13z0"/>
    <w:qFormat/>
    <w:rPr>
      <w:rFonts w:ascii="Symbol" w:hAnsi="Symbol" w:cs="Symbol"/>
      <w:sz w:val="20"/>
    </w:rPr>
  </w:style>
  <w:style w:type="character" w:styleId="WW8Num15z0">
    <w:name w:val="WW8Num15z0"/>
    <w:qFormat/>
    <w:rPr>
      <w:rFonts w:ascii="Symbol" w:hAnsi="Symbol" w:cs="Symbol"/>
    </w:rPr>
  </w:style>
  <w:style w:type="character" w:styleId="WW8Num20z0">
    <w:name w:val="WW8Num20z0"/>
    <w:qFormat/>
    <w:rPr>
      <w:rFonts w:ascii="Symbol" w:hAnsi="Symbol" w:cs="Symbol"/>
      <w:sz w:val="20"/>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Symbol" w:hAnsi="Symbol" w:cs="Symbol"/>
      <w:sz w:val="20"/>
    </w:rPr>
  </w:style>
  <w:style w:type="character" w:styleId="WW8Num28z0">
    <w:name w:val="WW8Num28z0"/>
    <w:qFormat/>
    <w:rPr>
      <w:rFonts w:ascii="Symbol" w:hAnsi="Symbol" w:cs="Symbol"/>
      <w:sz w:val="20"/>
    </w:rPr>
  </w:style>
  <w:style w:type="character" w:styleId="WW8Num29z0">
    <w:name w:val="WW8Num29z0"/>
    <w:qFormat/>
    <w:rPr>
      <w:rFonts w:ascii="Symbol" w:hAnsi="Symbol" w:cs="Symbol"/>
      <w:sz w:val="20"/>
    </w:rPr>
  </w:style>
  <w:style w:type="character" w:styleId="WW8Num31z0">
    <w:name w:val="WW8Num31z0"/>
    <w:qFormat/>
    <w:rPr>
      <w:rFonts w:ascii="Symbol" w:hAnsi="Symbol" w:cs="Symbol"/>
      <w:sz w:val="20"/>
    </w:rPr>
  </w:style>
  <w:style w:type="character" w:styleId="WW8Num36z0">
    <w:name w:val="WW8Num36z0"/>
    <w:qFormat/>
    <w:rPr>
      <w:rFonts w:ascii="Symbol" w:hAnsi="Symbol" w:cs="Symbol"/>
      <w:sz w:val="20"/>
    </w:rPr>
  </w:style>
  <w:style w:type="character" w:styleId="WW8Num40z0">
    <w:name w:val="WW8Num40z0"/>
    <w:qFormat/>
    <w:rPr>
      <w:rFonts w:ascii="Symbol" w:hAnsi="Symbol" w:cs="Symbol"/>
    </w:rPr>
  </w:style>
  <w:style w:type="character" w:styleId="WW8NumSt39z0">
    <w:name w:val="WW8NumSt3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Header">
    <w:name w:val="header"/>
    <w:basedOn w:val="Normal"/>
    <w:pPr>
      <w:tabs>
        <w:tab w:val="clear" w:pos="432"/>
        <w:tab w:val="center" w:pos="4320" w:leader="none"/>
        <w:tab w:val="right" w:pos="8640" w:leader="none"/>
      </w:tabs>
    </w:pPr>
    <w:rPr/>
  </w:style>
  <w:style w:type="paragraph" w:styleId="Footer">
    <w:name w:val="footer"/>
    <w:basedOn w:val="Normal"/>
    <w:pPr>
      <w:tabs>
        <w:tab w:val="clear" w:pos="432"/>
        <w:tab w:val="center" w:pos="4320" w:leader="none"/>
        <w:tab w:val="right" w:pos="8640" w:leader="none"/>
      </w:tabs>
    </w:pPr>
    <w:rPr/>
  </w:style>
  <w:style w:type="paragraph" w:styleId="ListNumber2">
    <w:name w:val="List Number 2"/>
    <w:basedOn w:val="Normal"/>
    <w:qFormat/>
    <w:pPr>
      <w:numPr>
        <w:ilvl w:val="0"/>
        <w:numId w:val="3"/>
      </w:numPr>
    </w:pPr>
    <w:rPr/>
  </w:style>
  <w:style w:type="paragraph" w:styleId="ListNumber3">
    <w:name w:val="List Number 3"/>
    <w:basedOn w:val="Normal"/>
    <w:qFormat/>
    <w:pPr>
      <w:numPr>
        <w:ilvl w:val="0"/>
        <w:numId w:val="2"/>
      </w:numPr>
    </w:pPr>
    <w:rPr/>
  </w:style>
  <w:style w:type="paragraph" w:styleId="Level1">
    <w:name w:val="Level 1"/>
    <w:basedOn w:val="Normal"/>
    <w:qFormat/>
    <w:pPr>
      <w:widowControl w:val="false"/>
      <w:overflowPunct w:val="false"/>
      <w:autoSpaceDE w:val="false"/>
      <w:ind w:hanging="720" w:start="720" w:end="0"/>
      <w:textAlignment w:val="baseline"/>
    </w:pPr>
    <w:rPr>
      <w:rFonts w:ascii="Arial" w:hAnsi="Arial" w:cs="Arial"/>
    </w:rPr>
  </w:style>
  <w:style w:type="paragraph" w:styleId="BodyTextIndent">
    <w:name w:val="Body Text Indent"/>
    <w:basedOn w:val="Normal"/>
    <w:pPr>
      <w:ind w:firstLine="720" w:start="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2000-11-27T13:39:00Z</dcterms:created>
  <dc:creator>Les Buchner</dc:creator>
  <dc:description/>
  <dc:language>en-CA</dc:language>
  <cp:lastModifiedBy>A PG&amp;E Employee</cp:lastModifiedBy>
  <cp:lastPrinted>2000-10-28T10:46:00Z</cp:lastPrinted>
  <dcterms:modified xsi:type="dcterms:W3CDTF">2000-12-06T18:31:00Z</dcterms:modified>
  <cp:revision>5</cp:revision>
  <dc:subject/>
  <dc:title>Internal Action Plan</dc:title>
</cp:coreProperties>
</file>