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center"/>
        <w:rPr>
          <w:u w:val="single"/>
        </w:rPr>
      </w:pPr>
      <w:r>
        <w:rPr>
          <w:u w:val="single"/>
        </w:rPr>
        <w:t>Assurances and Indemnity Agreement (the "Assurances Agreement")</w:t>
      </w:r>
    </w:p>
    <w:p>
      <w:pPr>
        <w:pStyle w:val="Normal"/>
        <w:tabs>
          <w:tab w:val="clear" w:pos="720"/>
          <w:tab w:val="left" w:pos="990" w:leader="none"/>
        </w:tabs>
        <w:rPr>
          <w:u w:val="single"/>
        </w:rPr>
      </w:pPr>
      <w:r>
        <w:rPr>
          <w:u w:val="single"/>
        </w:rPr>
      </w:r>
    </w:p>
    <w:p>
      <w:pPr>
        <w:pStyle w:val="Normal"/>
        <w:tabs>
          <w:tab w:val="clear" w:pos="720"/>
          <w:tab w:val="left" w:pos="990" w:leader="none"/>
        </w:tabs>
        <w:jc w:val="center"/>
        <w:rPr>
          <w:u w:val="single"/>
        </w:rPr>
      </w:pPr>
      <w:r>
        <w:rPr>
          <w:u w:val="single"/>
        </w:rPr>
        <w:t>Outstanding Matters</w:t>
      </w:r>
    </w:p>
    <w:p>
      <w:pPr>
        <w:pStyle w:val="Normal"/>
        <w:tabs>
          <w:tab w:val="clear" w:pos="720"/>
          <w:tab w:val="left" w:pos="990" w:leader="none"/>
        </w:tabs>
        <w:rPr>
          <w:u w:val="single"/>
        </w:rPr>
      </w:pPr>
      <w:r>
        <w:rPr>
          <w:u w:val="single"/>
        </w:rPr>
      </w:r>
    </w:p>
    <w:p>
      <w:pPr>
        <w:pStyle w:val="Normal"/>
        <w:tabs>
          <w:tab w:val="clear" w:pos="720"/>
          <w:tab w:val="left" w:pos="990" w:leader="none"/>
        </w:tabs>
        <w:jc w:val="both"/>
        <w:rPr/>
      </w:pPr>
      <w:r>
        <w:rPr/>
        <w:t>1.</w:t>
        <w:tab/>
      </w:r>
      <w:r>
        <w:rPr>
          <w:u w:val="single"/>
        </w:rPr>
        <w:t>Page 2</w:t>
      </w:r>
      <w:r>
        <w:rPr/>
        <w:t>.  The added recital on Page 2 is customary.</w:t>
      </w:r>
    </w:p>
    <w:p>
      <w:pPr>
        <w:pStyle w:val="Normal"/>
        <w:tabs>
          <w:tab w:val="clear" w:pos="720"/>
          <w:tab w:val="left" w:pos="990" w:leader="none"/>
        </w:tabs>
        <w:rPr/>
      </w:pPr>
      <w:r>
        <w:rPr/>
      </w:r>
    </w:p>
    <w:p>
      <w:pPr>
        <w:pStyle w:val="Normal"/>
        <w:tabs>
          <w:tab w:val="clear" w:pos="720"/>
          <w:tab w:val="left" w:pos="990" w:leader="none"/>
        </w:tabs>
        <w:jc w:val="both"/>
        <w:rPr/>
      </w:pPr>
      <w:r>
        <w:rPr/>
        <w:t>2.</w:t>
        <w:tab/>
      </w:r>
      <w:r>
        <w:rPr>
          <w:u w:val="single"/>
        </w:rPr>
        <w:t>Definitions of  "Counterparty Agreements," "Enron Transaction Affiliates" and "Transaction Documents</w:t>
      </w:r>
      <w:r>
        <w:rPr/>
        <w:t xml:space="preserve">."  In order to adequately protect the AEP Parties under the Assurances Agreement, it is necessary to include in the definition of Counterparty Agreements any future monetization agreements with respect to the Cushion Gas.  Accordingly, the definition of Enron Transaction Affiliates must include the Affiliates of Enron which are parties to these future monetization agreements.  Likewise, the definition of "Transaction Documents" must also include, in addition to the documents which will be executed at closing, all other documents executed in the future by any Enron parties in connection with the transactions contemplated by the Purchase and Sale Agreement. </w:t>
      </w:r>
    </w:p>
    <w:p>
      <w:pPr>
        <w:pStyle w:val="Normal"/>
        <w:tabs>
          <w:tab w:val="clear" w:pos="720"/>
          <w:tab w:val="left" w:pos="990" w:leader="none"/>
        </w:tabs>
        <w:rPr/>
      </w:pPr>
      <w:r>
        <w:rPr/>
      </w:r>
    </w:p>
    <w:p>
      <w:pPr>
        <w:pStyle w:val="Normal"/>
        <w:tabs>
          <w:tab w:val="clear" w:pos="720"/>
          <w:tab w:val="left" w:pos="990" w:leader="none"/>
        </w:tabs>
        <w:jc w:val="both"/>
        <w:rPr/>
      </w:pPr>
      <w:r>
        <w:rPr/>
        <w:t>3.</w:t>
        <w:tab/>
      </w:r>
      <w:r>
        <w:rPr>
          <w:u w:val="single"/>
        </w:rPr>
        <w:t>Sections 3(a) and Section 6</w:t>
      </w:r>
      <w:r>
        <w:rPr/>
        <w:t xml:space="preserve">.    Clause (vii) of Section 3(a), the deletion of the last part of the last sentence of Section 3(a), and the language added in Section 6 are necessary to support the parties' agreement that Enron's guaranty obligation is absolute and unconditional. </w:t>
      </w:r>
    </w:p>
    <w:p>
      <w:pPr>
        <w:pStyle w:val="Normal"/>
        <w:tabs>
          <w:tab w:val="clear" w:pos="720"/>
          <w:tab w:val="left" w:pos="990" w:leader="none"/>
        </w:tabs>
        <w:rPr/>
      </w:pPr>
      <w:r>
        <w:rPr/>
      </w:r>
    </w:p>
    <w:p>
      <w:pPr>
        <w:pStyle w:val="Normal"/>
        <w:tabs>
          <w:tab w:val="clear" w:pos="720"/>
          <w:tab w:val="left" w:pos="990" w:leader="none"/>
        </w:tabs>
        <w:jc w:val="both"/>
        <w:rPr/>
      </w:pPr>
      <w:r>
        <w:rPr/>
        <w:t>4.</w:t>
        <w:tab/>
      </w:r>
      <w:r>
        <w:rPr>
          <w:u w:val="single"/>
        </w:rPr>
        <w:t>Section 4</w:t>
      </w:r>
      <w:r>
        <w:rPr/>
        <w:t xml:space="preserve">. The indemnity in respect of the Leased Facilities and the Right to Use Assets must be absolute and  cannot be qualified by materiality.  </w:t>
      </w:r>
    </w:p>
    <w:p>
      <w:pPr>
        <w:pStyle w:val="Normal"/>
        <w:tabs>
          <w:tab w:val="clear" w:pos="720"/>
          <w:tab w:val="left" w:pos="990" w:leader="none"/>
        </w:tabs>
        <w:rPr/>
      </w:pPr>
      <w:r>
        <w:rPr/>
        <w:tab/>
      </w:r>
    </w:p>
    <w:p>
      <w:pPr>
        <w:pStyle w:val="Normal"/>
        <w:tabs>
          <w:tab w:val="clear" w:pos="720"/>
          <w:tab w:val="left" w:pos="990" w:leader="none"/>
        </w:tabs>
        <w:jc w:val="both"/>
        <w:rPr/>
      </w:pPr>
      <w:r>
        <w:rPr/>
        <w:tab/>
        <w:t xml:space="preserve">The addition of clause (iii) at the end of each of clauses (a) and (b) is also necessary to reflect Enron's indemnity obligation with respect to the Leased Facilities and the Right to Use Assets.  While we understand that Enron may not be in control of the actions of the other parties to the monetization agreements, it is appropriate that Enron bear the risk for any action which these parties may take which adversely affects the AEP parties, rights to the enjoyment of these assets, particularly since AEP would prefer to purchase these assets but cannot do so because of matters which relate solely to Enron.  Again, AEP should receive full indemnity, not just indemnity with respect to the acts of the Enron parties.  </w:t>
      </w:r>
    </w:p>
    <w:p>
      <w:pPr>
        <w:pStyle w:val="Normal"/>
        <w:tabs>
          <w:tab w:val="clear" w:pos="720"/>
          <w:tab w:val="left" w:pos="990" w:leader="none"/>
        </w:tabs>
        <w:rPr/>
      </w:pPr>
      <w:r>
        <w:rPr/>
      </w:r>
    </w:p>
    <w:p>
      <w:pPr>
        <w:pStyle w:val="Normal"/>
        <w:tabs>
          <w:tab w:val="clear" w:pos="720"/>
          <w:tab w:val="left" w:pos="990" w:leader="none"/>
        </w:tabs>
        <w:jc w:val="both"/>
        <w:rPr/>
      </w:pPr>
      <w:r>
        <w:rPr/>
        <w:t xml:space="preserve">5.  </w:t>
        <w:tab/>
      </w:r>
      <w:r>
        <w:rPr>
          <w:u w:val="single"/>
        </w:rPr>
        <w:t>Section 5</w:t>
      </w:r>
      <w:r>
        <w:rPr/>
        <w:t xml:space="preserve">.  The representations and warranties which we added as clauses (e) and (g) are appropriate to make certain that (i) the Assurances Agreement is properly entered into by Enron and would not result in any adverse action against Enron and (ii) and that the validity of the Assurances Agreement is not being questioned.  </w:t>
      </w:r>
    </w:p>
    <w:p>
      <w:pPr>
        <w:pStyle w:val="Normal"/>
        <w:tabs>
          <w:tab w:val="clear" w:pos="720"/>
          <w:tab w:val="left" w:pos="990" w:leader="none"/>
        </w:tabs>
        <w:rPr/>
      </w:pPr>
      <w:r>
        <w:rPr/>
      </w:r>
    </w:p>
    <w:p>
      <w:pPr>
        <w:pStyle w:val="Normal"/>
        <w:tabs>
          <w:tab w:val="clear" w:pos="720"/>
          <w:tab w:val="left" w:pos="990" w:leader="none"/>
        </w:tabs>
        <w:jc w:val="both"/>
        <w:rPr/>
      </w:pPr>
      <w:r>
        <w:rPr/>
        <w:t>6.</w:t>
        <w:tab/>
      </w:r>
      <w:r>
        <w:rPr>
          <w:u w:val="single"/>
        </w:rPr>
        <w:t>Section 6</w:t>
      </w:r>
      <w:r>
        <w:rPr/>
        <w:t>.</w:t>
        <w:tab/>
        <w:t xml:space="preserve">The Subordination provision is necessary in order to protect AEP in case of the bankruptcy or reorganization of an Enron Transaction Affiliate.  </w:t>
      </w:r>
    </w:p>
    <w:p>
      <w:pPr>
        <w:pStyle w:val="Normal"/>
        <w:tabs>
          <w:tab w:val="clear" w:pos="720"/>
          <w:tab w:val="left" w:pos="990" w:leader="none"/>
        </w:tabs>
        <w:rPr/>
      </w:pPr>
      <w:r>
        <w:rPr/>
        <w:tab/>
      </w:r>
    </w:p>
    <w:p>
      <w:pPr>
        <w:pStyle w:val="Normal"/>
        <w:tabs>
          <w:tab w:val="clear" w:pos="720"/>
          <w:tab w:val="left" w:pos="990" w:leader="none"/>
        </w:tabs>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IssuesLi.DOC</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44299.2 00374 00128 12/7/00 2:34:27 PM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Bidder A   7 Dec.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2000-12-07T17:03:00Z</dcterms:created>
  <dc:creator>LeBoeuf, Lamb, Greene &amp; MacRae, L.L.P.</dc:creator>
  <dc:description/>
  <cp:keywords>HN 44299.2 00374 00128 12/7/00 2:34:27 PM</cp:keywords>
  <dc:language>en-CA</dc:language>
  <cp:lastModifiedBy>LeBoeuf, Lamb, Greene &amp; MacRae, L.L.P.</cp:lastModifiedBy>
  <cp:lastPrinted>2000-12-07T14:34:00Z</cp:lastPrinted>
  <dcterms:modified xsi:type="dcterms:W3CDTF">2000-12-07T18:05:00Z</dcterms:modified>
  <cp:revision>18</cp:revision>
  <dc:subject/>
  <dc:title>Heading 1</dc:title>
</cp:coreProperties>
</file>