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52" w:leader="none"/>
        </w:tabs>
        <w:spacing w:lineRule="atLeast" w:line="360"/>
        <w:ind w:start="6030" w:end="0"/>
        <w:rPr>
          <w:rFonts w:ascii="Arial" w:hAnsi="Arial" w:cs="Arial"/>
          <w:b/>
          <w:sz w:val="22"/>
        </w:rPr>
      </w:pPr>
      <w:r>
        <w:rPr>
          <w:rFonts w:cs="Arial" w:ascii="Arial" w:hAnsi="Arial"/>
          <w:b/>
          <w:sz w:val="22"/>
        </w:rPr>
        <w:t xml:space="preserve">Deutsche Bank Securities  </w:t>
      </w:r>
      <w:r>
        <w:rPr>
          <w:rFonts w:cs="Arial" w:ascii="Arial" w:hAnsi="Arial"/>
          <w:b/>
          <w:sz w:val="22"/>
        </w:rPr>
        <w:object w:dxaOrig="492" w:dyaOrig="4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6pt;height:24pt" filled="f" o:ole="">
            <v:imagedata r:id="rId3" o:title=""/>
          </v:shape>
          <o:OLEObject Type="Embed" ProgID="" ShapeID="ole_rId2" DrawAspect="Content" ObjectID="_225873206" r:id="rId2"/>
        </w:object>
      </w:r>
    </w:p>
    <w:p>
      <w:pPr>
        <w:pStyle w:val="Normal"/>
        <w:ind w:start="6030" w:end="0"/>
        <w:rPr>
          <w:rFonts w:ascii="Arial" w:hAnsi="Arial" w:cs="Arial"/>
          <w:b/>
          <w:sz w:val="20"/>
        </w:rPr>
      </w:pPr>
      <w:r>
        <w:rPr>
          <w:rFonts w:cs="Arial" w:ascii="Arial" w:hAnsi="Arial"/>
          <w:b/>
          <w:sz w:val="20"/>
        </w:rPr>
      </w:r>
    </w:p>
    <w:p>
      <w:pPr>
        <w:pStyle w:val="Normal"/>
        <w:ind w:start="6030" w:end="0"/>
        <w:rPr>
          <w:rFonts w:ascii="Arial" w:hAnsi="Arial" w:cs="Arial"/>
          <w:sz w:val="18"/>
        </w:rPr>
      </w:pPr>
      <w:r>
        <w:rPr>
          <w:rFonts w:cs="Arial" w:ascii="Arial" w:hAnsi="Arial"/>
          <w:sz w:val="18"/>
        </w:rPr>
        <w:t>Deutsche Bank Securities Inc.</w:t>
      </w:r>
    </w:p>
    <w:p>
      <w:pPr>
        <w:pStyle w:val="Normal"/>
        <w:ind w:start="6030" w:end="0"/>
        <w:rPr/>
      </w:pPr>
      <w:r>
        <w:rPr>
          <w:rFonts w:cs="Arial" w:ascii="Arial" w:hAnsi="Arial"/>
          <w:sz w:val="18"/>
        </w:rPr>
        <w:t>31 West 52</w:t>
      </w:r>
      <w:r>
        <w:rPr>
          <w:rFonts w:cs="Arial" w:ascii="Arial" w:hAnsi="Arial"/>
          <w:sz w:val="18"/>
          <w:vertAlign w:val="superscript"/>
        </w:rPr>
        <w:t>nd</w:t>
      </w:r>
      <w:r>
        <w:rPr>
          <w:rFonts w:cs="Arial" w:ascii="Arial" w:hAnsi="Arial"/>
          <w:sz w:val="18"/>
        </w:rPr>
        <w:t xml:space="preserve"> Street</w:t>
      </w:r>
    </w:p>
    <w:p>
      <w:pPr>
        <w:pStyle w:val="Normal"/>
        <w:ind w:start="6030" w:end="0"/>
        <w:rPr>
          <w:rFonts w:ascii="Arial" w:hAnsi="Arial" w:cs="Arial"/>
          <w:sz w:val="18"/>
        </w:rPr>
      </w:pPr>
      <w:r>
        <w:rPr>
          <w:rFonts w:cs="Arial" w:ascii="Arial" w:hAnsi="Arial"/>
          <w:sz w:val="18"/>
        </w:rPr>
        <w:t>New York, NY 10019</w:t>
      </w:r>
    </w:p>
    <w:p>
      <w:pPr>
        <w:pStyle w:val="Normal"/>
        <w:ind w:start="6030" w:end="0"/>
        <w:rPr>
          <w:rFonts w:ascii="Arial" w:hAnsi="Arial" w:cs="Arial"/>
          <w:sz w:val="18"/>
        </w:rPr>
      </w:pPr>
      <w:r>
        <w:rPr>
          <w:rFonts w:cs="Arial" w:ascii="Arial" w:hAnsi="Arial"/>
          <w:sz w:val="18"/>
        </w:rPr>
      </w:r>
    </w:p>
    <w:p>
      <w:pPr>
        <w:pStyle w:val="Normal"/>
        <w:tabs>
          <w:tab w:val="clear" w:pos="720"/>
          <w:tab w:val="left" w:pos="7560" w:leader="none"/>
        </w:tabs>
        <w:ind w:start="6030" w:end="-270"/>
        <w:rPr>
          <w:rFonts w:ascii="Arial" w:hAnsi="Arial" w:cs="Arial"/>
          <w:sz w:val="18"/>
        </w:rPr>
      </w:pPr>
      <w:r>
        <w:rPr>
          <w:rFonts w:cs="Arial" w:ascii="Arial" w:hAnsi="Arial"/>
          <w:sz w:val="18"/>
        </w:rPr>
        <w:t>Telephone:  1-212-469-5000</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[Date]</w:t>
      </w:r>
    </w:p>
    <w:p>
      <w:pPr>
        <w:pStyle w:val="Normal"/>
        <w:jc w:val="both"/>
        <w:rPr>
          <w:rFonts w:ascii="Arial" w:hAnsi="Arial" w:cs="Arial"/>
          <w:sz w:val="20"/>
        </w:rPr>
      </w:pPr>
      <w:r>
        <w:rPr>
          <w:rFonts w:cs="Arial" w:ascii="Arial" w:hAnsi="Arial"/>
          <w:sz w:val="20"/>
        </w:rPr>
      </w:r>
    </w:p>
    <w:p>
      <w:pPr>
        <w:pStyle w:val="Normal"/>
        <w:numPr>
          <w:ilvl w:val="0"/>
          <w:numId w:val="0"/>
        </w:numPr>
        <w:ind w:hanging="3870" w:start="3870" w:end="0"/>
        <w:jc w:val="both"/>
        <w:outlineLvl w:val="0"/>
        <w:rPr>
          <w:rFonts w:ascii="Arial" w:hAnsi="Arial" w:cs="Arial"/>
          <w:sz w:val="22"/>
        </w:rPr>
      </w:pPr>
      <w:r>
        <w:rPr>
          <w:rFonts w:cs="Arial" w:ascii="Arial" w:hAnsi="Arial"/>
          <w:sz w:val="22"/>
        </w:rPr>
        <w:t xml:space="preserve">Attn: </w:t>
      </w:r>
    </w:p>
    <w:p>
      <w:pPr>
        <w:pStyle w:val="Normal"/>
        <w:numPr>
          <w:ilvl w:val="0"/>
          <w:numId w:val="0"/>
        </w:numPr>
        <w:tabs>
          <w:tab w:val="clear" w:pos="720"/>
          <w:tab w:val="left" w:pos="540" w:leader="none"/>
        </w:tabs>
        <w:ind w:hanging="3870" w:start="3870" w:end="0"/>
        <w:jc w:val="both"/>
        <w:outlineLvl w:val="0"/>
        <w:rPr>
          <w:rFonts w:ascii="Arial" w:hAnsi="Arial" w:cs="Arial"/>
          <w:sz w:val="22"/>
        </w:rPr>
      </w:pPr>
      <w:r>
        <w:rPr>
          <w:rFonts w:cs="Arial" w:ascii="Arial" w:hAnsi="Arial"/>
          <w:sz w:val="22"/>
        </w:rPr>
        <w:t>Tel:</w:t>
        <w:tab/>
      </w:r>
    </w:p>
    <w:p>
      <w:pPr>
        <w:pStyle w:val="Normal"/>
        <w:jc w:val="both"/>
        <w:rPr>
          <w:rFonts w:ascii="Arial" w:hAnsi="Arial" w:cs="Arial"/>
          <w:sz w:val="22"/>
        </w:rPr>
      </w:pPr>
      <w:r>
        <w:rPr>
          <w:rFonts w:cs="Arial" w:ascii="Arial" w:hAnsi="Arial"/>
          <w:sz w:val="22"/>
        </w:rPr>
        <w:t>Fax:</w:t>
      </w:r>
    </w:p>
    <w:p>
      <w:pPr>
        <w:pStyle w:val="Normal"/>
        <w:jc w:val="both"/>
        <w:rPr>
          <w:rFonts w:ascii="Arial" w:hAnsi="Arial" w:eastAsia="Arial" w:cs="Arial"/>
          <w:b/>
          <w:sz w:val="20"/>
        </w:rPr>
      </w:pPr>
      <w:r>
        <w:rPr>
          <w:rFonts w:eastAsia="Arial" w:cs="Arial" w:ascii="Arial" w:hAnsi="Arial"/>
          <w:b/>
          <w:sz w:val="20"/>
        </w:rPr>
        <w:t xml:space="preserve"> </w:t>
      </w:r>
    </w:p>
    <w:p>
      <w:pPr>
        <w:pStyle w:val="Normal"/>
        <w:jc w:val="both"/>
        <w:rPr>
          <w:rFonts w:ascii="Arial" w:hAnsi="Arial" w:cs="Arial"/>
          <w:sz w:val="20"/>
        </w:rPr>
      </w:pPr>
      <w:r>
        <w:rPr>
          <w:rFonts w:cs="Arial" w:ascii="Arial" w:hAnsi="Arial"/>
          <w:b/>
          <w:sz w:val="20"/>
        </w:rPr>
        <w:t>Issuer Forward Transaction –DBS Reference No.:  [         ]</w:t>
      </w:r>
    </w:p>
    <w:p>
      <w:pPr>
        <w:pStyle w:val="Normal"/>
        <w:widowControl w:val="false"/>
        <w:spacing w:before="0" w:after="240"/>
        <w:rPr>
          <w:rFonts w:ascii="Arial" w:hAnsi="Arial" w:cs="Arial"/>
          <w:sz w:val="20"/>
        </w:rPr>
      </w:pPr>
      <w:r>
        <w:rPr>
          <w:rFonts w:cs="Arial" w:ascii="Arial" w:hAnsi="Arial"/>
          <w:sz w:val="20"/>
        </w:rPr>
      </w:r>
    </w:p>
    <w:p>
      <w:pPr>
        <w:pStyle w:val="Normal"/>
        <w:widowControl w:val="false"/>
        <w:spacing w:before="0" w:after="240"/>
        <w:rPr>
          <w:rFonts w:ascii="Arial" w:hAnsi="Arial" w:cs="Arial"/>
          <w:sz w:val="20"/>
        </w:rPr>
      </w:pPr>
      <w:r>
        <w:rPr>
          <w:rFonts w:cs="Arial" w:ascii="Arial" w:hAnsi="Arial"/>
          <w:sz w:val="20"/>
        </w:rPr>
        <w:t>Dear Sir or Madam:</w:t>
      </w:r>
    </w:p>
    <w:p>
      <w:pPr>
        <w:pStyle w:val="Normal"/>
        <w:jc w:val="both"/>
        <w:rPr/>
      </w:pPr>
      <w:r>
        <w:rPr>
          <w:rFonts w:cs="Arial" w:ascii="Arial" w:hAnsi="Arial"/>
          <w:sz w:val="20"/>
        </w:rPr>
        <w:t>The purpose of this facsimile agreement (this “Confirmation”) is to confirm the terms and conditions of the Transaction</w:t>
      </w:r>
      <w:r>
        <w:rPr>
          <w:rFonts w:cs="Arial" w:ascii="Arial" w:hAnsi="Arial"/>
          <w:b/>
          <w:color w:val="0000FF"/>
          <w:sz w:val="20"/>
        </w:rPr>
        <w:t xml:space="preserve"> </w:t>
      </w:r>
      <w:r>
        <w:rPr>
          <w:rFonts w:cs="Arial" w:ascii="Arial" w:hAnsi="Arial"/>
          <w:sz w:val="20"/>
        </w:rPr>
        <w:t xml:space="preserve">entered into between </w:t>
      </w:r>
      <w:r>
        <w:rPr>
          <w:rFonts w:cs="Arial" w:ascii="Arial" w:hAnsi="Arial"/>
          <w:b/>
          <w:sz w:val="20"/>
        </w:rPr>
        <w:t>Deutsche Bank AG, acting through its London branch</w:t>
      </w:r>
      <w:r>
        <w:rPr>
          <w:rFonts w:cs="Arial" w:ascii="Arial" w:hAnsi="Arial"/>
          <w:sz w:val="20"/>
        </w:rPr>
        <w:t xml:space="preserve"> (</w:t>
      </w:r>
      <w:r>
        <w:rPr>
          <w:rFonts w:cs="Arial" w:ascii="Arial" w:hAnsi="Arial"/>
          <w:b/>
          <w:sz w:val="20"/>
        </w:rPr>
        <w:t>“Party A”</w:t>
      </w:r>
      <w:r>
        <w:rPr>
          <w:rFonts w:cs="Arial" w:ascii="Arial" w:hAnsi="Arial"/>
          <w:sz w:val="20"/>
        </w:rPr>
        <w:t xml:space="preserve">) and </w:t>
      </w:r>
      <w:r>
        <w:rPr>
          <w:rFonts w:cs="Arial" w:ascii="Arial" w:hAnsi="Arial"/>
          <w:b/>
          <w:color w:val="0000FF"/>
          <w:sz w:val="20"/>
        </w:rPr>
        <w:t>[Full legal name of counterparty]</w:t>
      </w:r>
      <w:r>
        <w:rPr>
          <w:rFonts w:cs="Arial" w:ascii="Arial" w:hAnsi="Arial"/>
          <w:sz w:val="20"/>
        </w:rPr>
        <w:t xml:space="preserve"> (</w:t>
      </w:r>
      <w:r>
        <w:rPr>
          <w:rFonts w:cs="Arial" w:ascii="Arial" w:hAnsi="Arial"/>
          <w:b/>
          <w:sz w:val="20"/>
        </w:rPr>
        <w:t>“Party B”</w:t>
      </w:r>
      <w:r>
        <w:rPr>
          <w:rFonts w:cs="Arial" w:ascii="Arial" w:hAnsi="Arial"/>
          <w:sz w:val="20"/>
        </w:rPr>
        <w:t>) on the Trade Date specified below (the “Transaction”). This Confirmation constitutes a “Confirmation” as referred to in the ISDA Master Agreement specified below. This Confirmation constitutes the entire agreement and understanding of the parties with respect to the subject matter and terms of the Transaction and supersedes all prior or contemporaneous  written and oral communications with respect thereto.</w:t>
      </w:r>
    </w:p>
    <w:p>
      <w:pPr>
        <w:pStyle w:val="Normal"/>
        <w:jc w:val="both"/>
        <w:rPr>
          <w:rFonts w:ascii="Arial" w:hAnsi="Arial" w:cs="Arial"/>
          <w:sz w:val="20"/>
        </w:rPr>
      </w:pPr>
      <w:r>
        <w:rPr>
          <w:rFonts w:cs="Arial" w:ascii="Arial" w:hAnsi="Arial"/>
          <w:sz w:val="20"/>
        </w:rPr>
      </w:r>
    </w:p>
    <w:p>
      <w:pPr>
        <w:pStyle w:val="Normal"/>
        <w:jc w:val="both"/>
        <w:rPr>
          <w:rFonts w:ascii="Arial" w:hAnsi="Arial" w:cs="Arial"/>
          <w:b/>
          <w:color w:val="0000FF"/>
          <w:sz w:val="20"/>
        </w:rPr>
      </w:pPr>
      <w:r>
        <w:rPr>
          <w:rFonts w:cs="Arial" w:ascii="Arial" w:hAnsi="Arial"/>
          <w:b/>
          <w:color w:val="0000FF"/>
          <w:sz w:val="20"/>
        </w:rPr>
        <w:t>DEUTSCHE BANK AG IS NOT REGISTERED AS A BROKER DEALER UNDER THE U.S. SECURITIES EXCHANGE ACT OF 1934.  DEUTSCHE BANK SECURITIES INC.  ("DBS") HAS ACTED SOLELY AS AGENT IN CONNECTION WITH THIS TRANSACTION AND HAS NO OBLIGATION, BY WAY OF ISSUANCE, ENDORSEMENT, GUARANTEE OR OTHERWISE WITH RESPECT TO THE PERFORMANCE OF EITHER PARTY UNDER THE TRANSACTION.</w:t>
      </w:r>
    </w:p>
    <w:p>
      <w:pPr>
        <w:pStyle w:val="Normal"/>
        <w:jc w:val="both"/>
        <w:rPr>
          <w:rFonts w:ascii="Arial" w:hAnsi="Arial" w:cs="Arial"/>
          <w:b/>
          <w:color w:val="0000FF"/>
          <w:sz w:val="20"/>
        </w:rPr>
      </w:pPr>
      <w:r>
        <w:rPr>
          <w:rFonts w:cs="Arial" w:ascii="Arial" w:hAnsi="Arial"/>
          <w:b/>
          <w:color w:val="0000FF"/>
          <w:sz w:val="20"/>
        </w:rPr>
      </w:r>
    </w:p>
    <w:p>
      <w:pPr>
        <w:pStyle w:val="Normal"/>
        <w:jc w:val="both"/>
        <w:rPr/>
      </w:pPr>
      <w:r>
        <w:rPr>
          <w:rFonts w:cs="Arial" w:ascii="Arial" w:hAnsi="Arial"/>
          <w:color w:val="0000FF"/>
          <w:sz w:val="20"/>
        </w:rPr>
        <w:t xml:space="preserve">This Confirmation evidences a complete and binding agreement between Party A and Party B as to the terms of the Transaction to which this Confirmation relates.  In addition Party A and Party B agree to use all reasonable efforts promptly to negotiate, execute and deliver an agreement in the form of the ISDA Master Agreement (Multicurrency-Cross Border) (the "ISDA Form") with such modifications as you and we will in good faith agree.  Upon execution by Party A and Party B of such an agreement, this Confirmation will supplement, form part of, and be subject to that agreement.  All provisions contained or incorporated by reference in that agreement upon its execution will govern this Confirmation.  Until we execute and deliver that agreement, this Confirmation, together with all other documents referring to the ISDA Form (each a "Confirmation") confirming transactions (each a "Transaction") entered into between us (notwithstanding anything to the contrary in a Confirmation) shall supplement, form a part of, and be subject to an agreement in the form of the ISDA Form as if we had executed an agreement on the Trade Date of the first such Transaction between us in such form with the Schedule thereto (i) specifying only that (a) the governing law is  </w:t>
      </w:r>
      <w:r>
        <w:rPr>
          <w:rFonts w:cs="Arial" w:ascii="Arial" w:hAnsi="Arial"/>
          <w:color w:val="FF0000"/>
          <w:sz w:val="20"/>
        </w:rPr>
        <w:t>the law of the State of New York without reference to choice of law doctrine</w:t>
      </w:r>
      <w:r>
        <w:rPr>
          <w:rFonts w:cs="Arial" w:ascii="Arial" w:hAnsi="Arial"/>
          <w:color w:val="0000FF"/>
          <w:sz w:val="20"/>
        </w:rPr>
        <w:t xml:space="preserve"> and (b) the Termination Currency is U.S., Dollars, (ii) incorporating the addition to the definition of “Indemnifiable Tax” contained in (page 48 of) the ISDA “Users Guide to the 1992 ISDA Master Agreements” and (iii) incorporating any other modifications to the ISDA form specified below.</w:t>
      </w:r>
      <w:r>
        <w:br w:type="page"/>
      </w:r>
    </w:p>
    <w:p>
      <w:pPr>
        <w:pStyle w:val="Normal"/>
        <w:jc w:val="both"/>
        <w:rPr>
          <w:rFonts w:ascii="Arial" w:hAnsi="Arial" w:cs="Arial"/>
          <w:sz w:val="20"/>
        </w:rPr>
      </w:pPr>
      <w:r>
        <w:rPr>
          <w:rFonts w:cs="Arial" w:ascii="Arial" w:hAnsi="Arial"/>
          <w:sz w:val="20"/>
        </w:rPr>
        <w:t>Modifications to the ISDA Form:</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w:t>
        <w:tab/>
        <w:t>“Threshold” means, with respect to Party A: 3% of its shareholders’ equity (i.e., the sum of capital and disclosed reserves as reported in the most recently published annual audited consolidated financial statements of Deutsche Bank AG).</w:t>
      </w:r>
    </w:p>
    <w:p>
      <w:pPr>
        <w:pStyle w:val="Normal"/>
        <w:rPr>
          <w:rFonts w:ascii="Arial" w:hAnsi="Arial" w:cs="Arial"/>
          <w:sz w:val="20"/>
        </w:rPr>
      </w:pPr>
      <w:r>
        <w:rPr>
          <w:rFonts w:cs="Arial" w:ascii="Arial" w:hAnsi="Arial"/>
          <w:sz w:val="20"/>
        </w:rPr>
      </w:r>
    </w:p>
    <w:p>
      <w:pPr>
        <w:pStyle w:val="BodyText2"/>
        <w:rPr/>
      </w:pPr>
      <w:r>
        <w:rPr/>
        <w:t>“</w:t>
      </w:r>
      <w:r>
        <w:rPr/>
        <w:t xml:space="preserve">Threshold” means, with respect to Party B or any Credit Support Provider: the higher of </w:t>
      </w:r>
      <w:r>
        <w:rPr>
          <w:b/>
        </w:rPr>
        <w:t>[  ]</w:t>
      </w:r>
      <w:r>
        <w:rPr/>
        <w:t xml:space="preserve"> or </w:t>
      </w:r>
      <w:r>
        <w:rPr>
          <w:b/>
        </w:rPr>
        <w:t>[  ]%</w:t>
      </w:r>
      <w:r>
        <w:rPr/>
        <w:t xml:space="preserve"> of its shareholders’ equity (as calculated in accordance with generally accepted accounting principles applicable to it).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w:t>
        <w:tab/>
        <w:t>The “Cross Default” provision of Section 5(a)(vi) of the ISDA Master Agreement will apply to both parties and is hereby amended by adding the following at the end hereof:</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and if, and only if, the other party determines in good faith that it has reasonable grounds to conclude that the performance by the Defaulting Party of its financial obligations hereunder is endangered.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If such provisions apply: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For Party A and Party B, “Specified Indebtedness” will mean (x) all obligations of that person identified as Specified Indebtedness in Section 14 of the ISDA Master Agreement (except as excluded in the proviso to this definition below), as well as all reimbursement obligations in respect of letters of credit or financial guaranty insurance or surety bonds issued for the account of that person, provided, however, that obligations in respect of interbank deposits received shall not constitute Specified Indebtedness for purposes of clause (2) of Section 5(a)(iv) of the ISDA Master Agreement to the extent they are not paid when due only as the result of inadvertence or administrative error and (y) all Derivatives Transactions (other than any Specified Transaction) of the party.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w:t>
      </w:r>
      <w:r>
        <w:rPr>
          <w:rFonts w:cs="Arial" w:ascii="Arial" w:hAnsi="Arial"/>
          <w:sz w:val="20"/>
        </w:rPr>
        <w:t>Derivative Transaction” in the case of a party, means: any transaction (including an agreement with respect thereto) now existing or hereafter entered into between such party (or any Credit Support Provider of such party or any applicable Specified Entity of such party) and any other person or entity (including, without limitation, the other party), including without limitation any rate swap transaction, basis swap, forward rate transaction, commodity swap, commodity option, equity or equity index swap, equity or equity index option, bond option, interest rate option, repurchase or reverse repurchase transaction, foreign exchange transaction, commodity transaction, credit derivative transaction, securities lending transaction, cap transaction, floor transaction, collar transaction, currency swap transaction, cross-currency rate swap transaction, currency option, any transaction that is a “swap agreement”, “commodity contract”,  or “forward contract” under the U.S. Bankruptcy Code as amended, or any other similar transaction (including any option with respect to any of these transactions).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w:t>
        <w:tab/>
        <w:t>Additional Termination Event.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following shall constitute an Additional Termination Event with respect to Party B.</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At any time the long-term, unsecured, unsubordinated debt rating of Party B is below BBB- by Standard &amp; Poor’s Corporation, a division of The McGraw-Hill Companies, Inc. (“S&amp;P”) or below Baa3 by Moody’s Investor Services, Inc. (“Moody’s”).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For the purpose of the foregoing Additional Termination Event the Affected Party shall be Party B.</w:t>
      </w:r>
      <w:r>
        <w:br w:type="page"/>
      </w:r>
    </w:p>
    <w:p>
      <w:pPr>
        <w:pStyle w:val="Normal"/>
        <w:rPr/>
      </w:pPr>
      <w:r>
        <w:rPr/>
        <w:t>The terms of the particular Transaction to which this Confirmation relates are as follows:</w:t>
      </w:r>
    </w:p>
    <w:p>
      <w:pPr>
        <w:pStyle w:val="BodyText"/>
        <w:widowControl w:val="false"/>
        <w:rPr>
          <w:rFonts w:ascii="Arial" w:hAnsi="Arial" w:cs="Arial"/>
          <w:b/>
          <w:sz w:val="20"/>
          <w:u w:val="single"/>
        </w:rPr>
      </w:pPr>
      <w:r>
        <w:rPr>
          <w:rFonts w:cs="Arial" w:ascii="Arial" w:hAnsi="Arial"/>
          <w:b/>
          <w:sz w:val="20"/>
          <w:u w:val="single"/>
        </w:rPr>
      </w:r>
    </w:p>
    <w:p>
      <w:pPr>
        <w:pStyle w:val="BodyText"/>
        <w:widowControl w:val="false"/>
        <w:rPr>
          <w:rFonts w:ascii="Arial" w:hAnsi="Arial" w:cs="Arial"/>
          <w:sz w:val="20"/>
        </w:rPr>
      </w:pPr>
      <w:r>
        <w:rPr>
          <w:rFonts w:cs="Arial" w:ascii="Arial" w:hAnsi="Arial"/>
          <w:b/>
          <w:sz w:val="20"/>
          <w:u w:val="single"/>
        </w:rPr>
        <w:t>General Terms</w:t>
      </w:r>
    </w:p>
    <w:tbl>
      <w:tblPr>
        <w:tblW w:w="8460" w:type="dxa"/>
        <w:jc w:val="start"/>
        <w:tblInd w:w="918" w:type="dxa"/>
        <w:tblLayout w:type="fixed"/>
        <w:tblCellMar>
          <w:top w:w="0" w:type="dxa"/>
          <w:start w:w="108" w:type="dxa"/>
          <w:bottom w:w="0" w:type="dxa"/>
          <w:end w:w="108" w:type="dxa"/>
        </w:tblCellMar>
      </w:tblPr>
      <w:tblGrid>
        <w:gridCol w:w="3780"/>
        <w:gridCol w:w="4680"/>
      </w:tblGrid>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Trade Date:</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              ]</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Effective Date:</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              ]</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Termination Date:</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[The final Equity Payment Date]</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Settlement Date(s):</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In relation to any Shares, including any Early Termination Shares, the date on which “regular way” settlement of the sale of such Shares takes place through the relevant clearing system; provided that, if any sale of Shares is to occur on multiple serial sale dates, the “Settlement Date” shall be deemed to be the last settlement date in respect of such series of Share sales.</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Shares:</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w:t>
            </w:r>
            <w:r>
              <w:rPr>
                <w:rFonts w:cs="Arial" w:ascii="Arial" w:hAnsi="Arial"/>
                <w:sz w:val="20"/>
              </w:rPr>
              <w:t>ENE,” Enron Corp Cusip #  [ ] (the “Issuer”)</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Exchange:</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New York, or any successor to such exchange or quotation system</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Related Exchange:</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Any relevant exchange or recognized quotation system (and any other successor thereto) on which futures and/or options contracts on the Shares are traded, as determined by the Calculation Agent.</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Calculation Agent:</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Party A</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Net Shares:</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With respect to any payment obligation, a number of Shares having a value equal to such payment obligation, calculated based on the Relevant Price (on the date of calculation of such payment obligation) for determining such payment obligation.  Any fractional Net Shares to be delivered hereunder shall be rounded down to the nearest whole number.</w:t>
            </w:r>
          </w:p>
        </w:tc>
      </w:tr>
    </w:tbl>
    <w:p>
      <w:pPr>
        <w:pStyle w:val="BodyText"/>
        <w:keepNext w:val="true"/>
        <w:widowControl w:val="false"/>
        <w:spacing w:before="240" w:after="240"/>
        <w:jc w:val="both"/>
        <w:rPr>
          <w:rFonts w:ascii="Arial" w:hAnsi="Arial" w:cs="Arial"/>
          <w:sz w:val="20"/>
        </w:rPr>
      </w:pPr>
      <w:r>
        <w:rPr>
          <w:rFonts w:cs="Arial" w:ascii="Arial" w:hAnsi="Arial"/>
          <w:b/>
          <w:sz w:val="20"/>
          <w:u w:val="single"/>
        </w:rPr>
        <w:t>Equity Amounts Payable</w:t>
      </w:r>
    </w:p>
    <w:tbl>
      <w:tblPr>
        <w:tblW w:w="8640" w:type="dxa"/>
        <w:jc w:val="start"/>
        <w:tblInd w:w="918" w:type="dxa"/>
        <w:tblLayout w:type="fixed"/>
        <w:tblCellMar>
          <w:top w:w="0" w:type="dxa"/>
          <w:start w:w="108" w:type="dxa"/>
          <w:bottom w:w="0" w:type="dxa"/>
          <w:end w:w="108" w:type="dxa"/>
        </w:tblCellMar>
      </w:tblPr>
      <w:tblGrid>
        <w:gridCol w:w="3780"/>
        <w:gridCol w:w="4856"/>
        <w:gridCol w:w="4"/>
      </w:tblGrid>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Equity Amount:</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In respect of any Equity Payment Date, an amount determined by the Calculation Agent as of the relevant Valuation Date equal to:</w:t>
            </w:r>
          </w:p>
        </w:tc>
      </w:tr>
      <w:tr>
        <w:trPr/>
        <w:tc>
          <w:tcPr>
            <w:tcW w:w="3780" w:type="dxa"/>
            <w:tcBorders/>
          </w:tcPr>
          <w:p>
            <w:pPr>
              <w:pStyle w:val="Normal"/>
              <w:widowControl w:val="false"/>
              <w:spacing w:before="0" w:after="240"/>
              <w:jc w:val="both"/>
              <w:rPr>
                <w:rFonts w:ascii="Arial" w:hAnsi="Arial" w:eastAsia="Arial" w:cs="Arial"/>
                <w:sz w:val="20"/>
              </w:rPr>
            </w:pPr>
            <w:r>
              <w:rPr>
                <w:rFonts w:eastAsia="Arial" w:cs="Arial" w:ascii="Arial" w:hAnsi="Arial"/>
                <w:sz w:val="20"/>
              </w:rPr>
              <w:t xml:space="preserve"> </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Number of Shares x (Final Price - Initial Price)</w:t>
            </w:r>
          </w:p>
        </w:tc>
      </w:tr>
      <w:tr>
        <w:trPr/>
        <w:tc>
          <w:tcPr>
            <w:tcW w:w="3780" w:type="dxa"/>
            <w:tcBorders/>
          </w:tcPr>
          <w:p>
            <w:pPr>
              <w:pStyle w:val="Normal"/>
              <w:widowControl w:val="false"/>
              <w:jc w:val="both"/>
              <w:rPr>
                <w:rFonts w:ascii="Arial" w:hAnsi="Arial" w:cs="Arial"/>
                <w:sz w:val="20"/>
              </w:rPr>
            </w:pPr>
            <w:r>
              <w:rPr>
                <w:rFonts w:cs="Arial" w:ascii="Arial" w:hAnsi="Arial"/>
                <w:sz w:val="20"/>
              </w:rPr>
              <w:t>Payment of Equity Amount by Party A:</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 xml:space="preserve">If the Equity Amount is positive, then Party A shall make payment of the Equity Amount to Party B by delivery of Net Shares equivalent in value to the Equity Amount.  </w:t>
            </w:r>
          </w:p>
        </w:tc>
      </w:tr>
      <w:tr>
        <w:trPr/>
        <w:tc>
          <w:tcPr>
            <w:tcW w:w="3780" w:type="dxa"/>
            <w:tcBorders/>
          </w:tcPr>
          <w:p>
            <w:pPr>
              <w:pStyle w:val="Normal"/>
              <w:widowControl w:val="false"/>
              <w:snapToGrid w:val="false"/>
              <w:spacing w:before="0" w:after="240"/>
              <w:jc w:val="both"/>
              <w:rPr>
                <w:rFonts w:ascii="Arial" w:hAnsi="Arial" w:cs="Arial"/>
                <w:sz w:val="20"/>
              </w:rPr>
            </w:pPr>
            <w:r>
              <w:rPr>
                <w:rFonts w:cs="Arial" w:ascii="Arial" w:hAnsi="Arial"/>
                <w:sz w:val="20"/>
              </w:rPr>
            </w:r>
          </w:p>
        </w:tc>
        <w:tc>
          <w:tcPr>
            <w:tcW w:w="4860" w:type="dxa"/>
            <w:tcBorders/>
          </w:tcPr>
          <w:p>
            <w:pPr>
              <w:pStyle w:val="Normal"/>
              <w:widowControl w:val="false"/>
              <w:spacing w:before="0" w:after="240"/>
              <w:jc w:val="both"/>
              <w:rPr/>
            </w:pPr>
            <w:r>
              <w:rPr>
                <w:rFonts w:cs="Arial" w:ascii="Arial" w:hAnsi="Arial"/>
                <w:sz w:val="20"/>
              </w:rPr>
              <w:t xml:space="preserve">However, Party B may, on written notice to Party A delivered 30 days on or before the relevant Valuation Date, elect that such Equity Amount be paid, in whole or in part, in cash.  Pursuant to such election, Party A shall deliver the product of (i) the VWAP less </w:t>
            </w:r>
            <w:r>
              <w:rPr>
                <w:rFonts w:cs="Arial" w:ascii="Arial" w:hAnsi="Arial"/>
                <w:b/>
                <w:sz w:val="20"/>
              </w:rPr>
              <w:t>USD []</w:t>
            </w:r>
            <w:r>
              <w:rPr>
                <w:rFonts w:cs="Arial" w:ascii="Arial" w:hAnsi="Arial"/>
                <w:sz w:val="20"/>
              </w:rPr>
              <w:t xml:space="preserve"> for the Trading Day next following the Valuation Date and (ii) the Net Shares. The payment by Party A of the proceeds shall satisfy in full Party A’s obligation to pay such Equity Amount (or part thereof) notwithstanding (without limitation) any change in Share price occurring during the period commencing on the date of Party B’s election and ending on and including the Settlement Date of such sale.  </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Payment of Equity Amount by Party B:</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If the Equity Amount is negative, then Party B shall pay the absolute value of the Equity Amount in cash or in Net Shares.  If Party B elects to pay the absolute value of the Equity Amount in Net Shares, it shall so elect 30 days on or before the relevant Valuation Date; provided, however, that Party B shall satisfy the Registration Obligation in respect of the Net Shares and in respect of any Make-Whole Shares on or prior to delivery thereof, whereupon Party A shall sell as promptly thereafter as Party A determines is reasonable such Net Shares and any Make-Whole Shares in accordance with and subject to the underwriting agreement described in subparagraph (iv) of the Registration Obligation provision herein. And provided further that if Party B does not satisfy the Registration Obligation on or prior to the delivery of Net Shares, Party B shall cash settle its obligations to pay the Equity Amount.</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Net Share Value Deficiency:</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In the case of Party B’s election to deliver Net Shares to Party A in satisfaction of its Equity Amount obligation, an amount equal to (i) the Equity Amount minus (ii) the net cash proceeds resulting from the sale of the Net Shares, but not less than zero.</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Make-Whole Shares:</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Any Net Shares required to be delivered by Party B in satisfaction of the Make-Whole Obligation or the Early Termination Make-Whole Obligation.</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Make-Whole Obligation:</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 xml:space="preserve">If the Net Share Value Deficiency is greater than zero, then Party B shall immediately pay Party A, either in cash or Net Shares, if the Registration Obligation is met with respect to such Net Shares, an amount equal to such Net Share Value Deficiency.  If Net Shares are delivered, then Party A shall sell as promptly thereafter as Party A determines is reasonable such Net Shares, and apply the proceeds to Party B’s obligations under this paragraph.  To the extent there is a deficiency, this paragraph shall be applied (substituting “such deficiency” for “Net Share Value Deficiency”) as many times as necessary until there is no such deficiency.  </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Initial Number of Shares:</w:t>
            </w:r>
          </w:p>
        </w:tc>
        <w:tc>
          <w:tcPr>
            <w:tcW w:w="4860" w:type="dxa"/>
            <w:tcBorders/>
          </w:tcPr>
          <w:p>
            <w:pPr>
              <w:pStyle w:val="Normal"/>
              <w:widowControl w:val="false"/>
              <w:spacing w:before="0" w:after="240"/>
              <w:jc w:val="both"/>
              <w:rPr/>
            </w:pPr>
            <w:r>
              <w:rPr>
                <w:rFonts w:cs="Arial" w:ascii="Arial" w:hAnsi="Arial"/>
                <w:b/>
                <w:sz w:val="20"/>
              </w:rPr>
              <w:t>[  ]</w:t>
            </w:r>
            <w:r>
              <w:rPr>
                <w:rFonts w:cs="Arial" w:ascii="Arial" w:hAnsi="Arial"/>
                <w:sz w:val="20"/>
              </w:rPr>
              <w:t xml:space="preserve"> Shares purchased by Party A in open market purchases executed on the Exchange.</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Number of Shares:</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With respect to the first Valuation Date, the Initial Number of Shares and, for each subsequent Valuation Date, an amount equal to the (i) Number of Shares applicable to the immediately preceding Valuation Date, minus any Net Shares required to be delivered by Party A to Party B in payment of any Equity Amount on the Equity Payment Date related to the immediately preceding Valuation Date (or any Net Shares to be sold by Party A as a result of the election made by Party B to receive the Equity Amount (or a portion thereof) in cash).  For the avoidance of doubt, the Number of Shares shall not include any Make-Whole Shares.</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Valuation Date(s):</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[Dates that are 3 Exchange Business Days prior to the relevant Equity Payment Dates]</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Equity Payment Date(s):</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For payments made in cash, the third Currency Business Day following the relevant Valuation Date, except with respect to cash payments under the provision relating to Party B’s election to receive cash, as described in the definition of Payment of Equity Amount by Party A herein (as to which the immediate next sentence shall govern).  For payments made in Net Shares (other than Make-Whole Shares), the Settlement Date corresponding to the relevant Valuation Date.  For payments made in Make-Whole Shares, the Settlement Date corresponding to the date the Make-Whole Obligation is payable.</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Benchmark Price:</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   ]  [To be calculated based on the price realized by Party A to accumulate the Initial Number of Shares]</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Initial Price:</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For the first period, the product of ((x) the Benchmark Price on the Effective Date multiplied by (y) 1 plus the Floating Rate Component).</w:t>
            </w:r>
          </w:p>
          <w:p>
            <w:pPr>
              <w:pStyle w:val="Normal"/>
              <w:widowControl w:val="false"/>
              <w:spacing w:before="0" w:after="240"/>
              <w:jc w:val="both"/>
              <w:rPr>
                <w:rFonts w:ascii="Arial" w:hAnsi="Arial" w:cs="Arial"/>
                <w:sz w:val="20"/>
              </w:rPr>
            </w:pPr>
            <w:r>
              <w:rPr>
                <w:rFonts w:cs="Arial" w:ascii="Arial" w:hAnsi="Arial"/>
                <w:sz w:val="20"/>
              </w:rPr>
              <w:t>For the remaining periods, the product of ((x) the Final Price for the prior period multiplied by (y) 1 plus the Floating Rate Component).</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Final Price:</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 xml:space="preserve">In respect of each Valuation Date (excluding the final Valuation Date), the Relevant Price of the Shares. </w:t>
            </w:r>
          </w:p>
          <w:p>
            <w:pPr>
              <w:pStyle w:val="Normal"/>
              <w:widowControl w:val="false"/>
              <w:spacing w:before="0" w:after="240"/>
              <w:jc w:val="both"/>
              <w:rPr>
                <w:rFonts w:ascii="Arial" w:hAnsi="Arial" w:cs="Arial"/>
                <w:sz w:val="20"/>
              </w:rPr>
            </w:pPr>
            <w:r>
              <w:rPr>
                <w:rFonts w:cs="Arial" w:ascii="Arial" w:hAnsi="Arial"/>
                <w:sz w:val="20"/>
              </w:rPr>
              <w:t>In respect of the final Valuation Date or the designated Optional Early Termination Date, the arithmetic mean of the VWAP of the Shares (or the Early Termination Shares) on the Averaging Dates.</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Relevant Price:</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 xml:space="preserve">In respect of any day, the last sale price per Share quoted by the Exchange at the Valuation Time on such date. </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VWAP:</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In respect of any day, the volume weighted average price per Share as reported on Bloomberg L.P for the normal trading hours on the day, as determined by the Calculation Agent</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Valuation Time:</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4:00 p.m., New York time.</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Floating Rate Component:</w:t>
            </w:r>
          </w:p>
        </w:tc>
        <w:tc>
          <w:tcPr>
            <w:tcW w:w="4856" w:type="dxa"/>
            <w:tcBorders/>
          </w:tcPr>
          <w:p>
            <w:pPr>
              <w:pStyle w:val="Normal"/>
              <w:widowControl w:val="false"/>
              <w:spacing w:before="0" w:after="240"/>
              <w:jc w:val="both"/>
              <w:rPr>
                <w:rFonts w:ascii="Arial" w:hAnsi="Arial" w:cs="Arial"/>
                <w:sz w:val="20"/>
              </w:rPr>
            </w:pPr>
            <w:r>
              <w:rPr>
                <w:rFonts w:cs="Arial" w:ascii="Arial" w:hAnsi="Arial"/>
                <w:sz w:val="20"/>
              </w:rPr>
              <w:t>The Floating Rate Day Count Fraction multiplied by the sum of (x) the Floating Rate and (y) the Spread.</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Floating Rate Option:</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 xml:space="preserve">USD-LIBOR-BBA  </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Designated Maturity:</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3 month(s)</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Spread:</w:t>
            </w:r>
          </w:p>
        </w:tc>
        <w:tc>
          <w:tcPr>
            <w:tcW w:w="4860" w:type="dxa"/>
            <w:tcBorders/>
          </w:tcPr>
          <w:p>
            <w:pPr>
              <w:pStyle w:val="Normal"/>
              <w:widowControl w:val="false"/>
              <w:spacing w:before="0" w:after="240"/>
              <w:jc w:val="both"/>
              <w:rPr/>
            </w:pPr>
            <w:r>
              <w:rPr>
                <w:rFonts w:cs="Arial" w:ascii="Arial" w:hAnsi="Arial"/>
                <w:sz w:val="20"/>
              </w:rPr>
              <w:t xml:space="preserve">Plus </w:t>
            </w:r>
            <w:r>
              <w:rPr>
                <w:rFonts w:cs="Arial" w:ascii="Arial" w:hAnsi="Arial"/>
                <w:b/>
                <w:sz w:val="20"/>
              </w:rPr>
              <w:t>[  ]</w:t>
            </w:r>
            <w:r>
              <w:rPr>
                <w:rFonts w:cs="Arial" w:ascii="Arial" w:hAnsi="Arial"/>
                <w:sz w:val="20"/>
              </w:rPr>
              <w:t>%</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Floating Rate Day Count Fraction:</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Actual/360</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Business Days:</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New York and London</w:t>
            </w:r>
          </w:p>
        </w:tc>
      </w:tr>
      <w:tr>
        <w:trPr/>
        <w:tc>
          <w:tcPr>
            <w:tcW w:w="3780" w:type="dxa"/>
            <w:tcBorders/>
          </w:tcPr>
          <w:p>
            <w:pPr>
              <w:pStyle w:val="Normal"/>
              <w:widowControl w:val="false"/>
              <w:snapToGrid w:val="false"/>
              <w:spacing w:before="0" w:after="240"/>
              <w:jc w:val="both"/>
              <w:rPr>
                <w:rFonts w:ascii="Arial" w:hAnsi="Arial" w:cs="Arial"/>
                <w:sz w:val="20"/>
              </w:rPr>
            </w:pPr>
            <w:r>
              <w:rPr>
                <w:rFonts w:cs="Arial" w:ascii="Arial" w:hAnsi="Arial"/>
                <w:sz w:val="20"/>
              </w:rPr>
            </w:r>
          </w:p>
        </w:tc>
        <w:tc>
          <w:tcPr>
            <w:tcW w:w="4860" w:type="dxa"/>
            <w:tcBorders/>
          </w:tcPr>
          <w:p>
            <w:pPr>
              <w:pStyle w:val="Normal"/>
              <w:widowControl w:val="false"/>
              <w:snapToGrid w:val="false"/>
              <w:spacing w:before="0" w:after="240"/>
              <w:jc w:val="both"/>
              <w:rPr>
                <w:rFonts w:ascii="Arial" w:hAnsi="Arial" w:cs="Arial"/>
                <w:sz w:val="20"/>
              </w:rPr>
            </w:pPr>
            <w:r>
              <w:rPr>
                <w:rFonts w:cs="Arial" w:ascii="Arial" w:hAnsi="Arial"/>
                <w:sz w:val="20"/>
              </w:rPr>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Averaging Dates:</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In relation to the final Valuation Date or the designated Optional Early Termination Date, each of the [X] consecutive Exchange Business Days prior to, and including, the final Valuation Date or the designated Optional Early Termination Date, where X is determined from the following formula:</w:t>
            </w:r>
          </w:p>
          <w:p>
            <w:pPr>
              <w:pStyle w:val="Normal"/>
              <w:widowControl w:val="false"/>
              <w:spacing w:before="0" w:after="240"/>
              <w:jc w:val="both"/>
              <w:rPr/>
            </w:pPr>
            <w:r>
              <w:rPr>
                <w:rFonts w:cs="Arial" w:ascii="Arial" w:hAnsi="Arial"/>
                <w:sz w:val="20"/>
                <w:u w:val="single"/>
              </w:rPr>
              <w:t xml:space="preserve">(Number of Shares or Early Termination Shares) </w:t>
            </w:r>
            <w:r>
              <w:rPr>
                <w:rFonts w:cs="Arial" w:ascii="Arial" w:hAnsi="Arial"/>
                <w:sz w:val="20"/>
              </w:rPr>
              <w:br/>
              <w:t xml:space="preserve">       (.20 x Average Daily Volume of the Shares)</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Averaging Date Market Disruption:</w:t>
            </w:r>
          </w:p>
        </w:tc>
        <w:tc>
          <w:tcPr>
            <w:tcW w:w="4860" w:type="dxa"/>
            <w:tcBorders/>
          </w:tcPr>
          <w:p>
            <w:pPr>
              <w:pStyle w:val="Normal"/>
              <w:widowControl w:val="false"/>
              <w:spacing w:before="0" w:after="240"/>
              <w:jc w:val="both"/>
              <w:rPr>
                <w:rFonts w:ascii="Arial" w:hAnsi="Arial" w:cs="Arial"/>
                <w:sz w:val="20"/>
              </w:rPr>
            </w:pPr>
            <w:r>
              <w:rPr>
                <w:rFonts w:cs="Arial" w:ascii="Arial" w:hAnsi="Arial"/>
                <w:sz w:val="20"/>
              </w:rPr>
              <w:t>Modified Postponement</w:t>
            </w:r>
          </w:p>
        </w:tc>
      </w:tr>
    </w:tbl>
    <w:p>
      <w:pPr>
        <w:pStyle w:val="Caption"/>
        <w:rPr/>
      </w:pPr>
      <w:r>
        <w:rPr/>
        <w:t>Extension Events</w:t>
      </w:r>
    </w:p>
    <w:p>
      <w:pPr>
        <w:pStyle w:val="Normal"/>
        <w:tabs>
          <w:tab w:val="clear" w:pos="720"/>
          <w:tab w:val="left" w:pos="900" w:leader="none"/>
        </w:tabs>
        <w:ind w:start="4680" w:end="0"/>
        <w:jc w:val="both"/>
        <w:rPr>
          <w:rFonts w:ascii="Arial" w:hAnsi="Arial" w:cs="Arial"/>
          <w:sz w:val="20"/>
        </w:rPr>
      </w:pPr>
      <w:r>
        <w:rPr>
          <w:rFonts w:cs="Arial" w:ascii="Arial" w:hAnsi="Arial"/>
          <w:sz w:val="20"/>
        </w:rPr>
      </w:r>
    </w:p>
    <w:p>
      <w:pPr>
        <w:pStyle w:val="Normal"/>
        <w:tabs>
          <w:tab w:val="clear" w:pos="720"/>
          <w:tab w:val="left" w:pos="900" w:leader="none"/>
        </w:tabs>
        <w:ind w:hanging="4140" w:start="4680" w:end="0"/>
        <w:jc w:val="both"/>
        <w:rPr/>
      </w:pPr>
      <w:r>
        <w:rPr>
          <w:rFonts w:cs="Arial" w:ascii="Arial" w:hAnsi="Arial"/>
          <w:sz w:val="20"/>
        </w:rPr>
        <w:t>Extension Events:</w:t>
        <w:tab/>
        <w:tab/>
        <w:tab/>
        <w:tab/>
        <w:t xml:space="preserve">     </w:t>
      </w:r>
      <w:r>
        <w:rPr>
          <w:rFonts w:cs="Arial" w:ascii="Arial" w:hAnsi="Arial"/>
          <w:i/>
          <w:sz w:val="20"/>
        </w:rPr>
        <w:t>“Extension Event”</w:t>
      </w:r>
      <w:r>
        <w:rPr>
          <w:rFonts w:cs="Arial" w:ascii="Arial" w:hAnsi="Arial"/>
          <w:sz w:val="20"/>
        </w:rPr>
        <w:t xml:space="preserve"> means an event that would cause the purchase by the Issuer of the Shares pursuant to this Transaction to violate Regulation M under the Securities Exchange Act of 1934, as amended </w:t>
      </w:r>
      <w:r>
        <w:rPr>
          <w:rFonts w:cs="Arial" w:ascii="Arial" w:hAnsi="Arial"/>
          <w:i/>
          <w:sz w:val="20"/>
        </w:rPr>
        <w:t>(“1934 Act”)</w:t>
      </w:r>
      <w:r>
        <w:rPr>
          <w:rFonts w:cs="Arial" w:ascii="Arial" w:hAnsi="Arial"/>
          <w:sz w:val="20"/>
        </w:rPr>
        <w:t xml:space="preserve"> or Rule 10b-13 or Rule 13e-1 under the 1934 Act or any provision of the 1934 Act or the Rules thereunder relating to tender offers.  The existence of an Extension Event shall be determined without regard to whether any Option is then “in-the-money” or “out-of the-money”.</w:t>
      </w:r>
    </w:p>
    <w:p>
      <w:pPr>
        <w:pStyle w:val="Normal"/>
        <w:ind w:hanging="3960" w:start="4680" w:end="0"/>
        <w:jc w:val="both"/>
        <w:rPr>
          <w:rFonts w:ascii="Arial" w:hAnsi="Arial" w:cs="Arial"/>
          <w:sz w:val="20"/>
        </w:rPr>
      </w:pPr>
      <w:r>
        <w:rPr>
          <w:rFonts w:cs="Arial" w:ascii="Arial" w:hAnsi="Arial"/>
          <w:sz w:val="20"/>
        </w:rPr>
      </w:r>
    </w:p>
    <w:p>
      <w:pPr>
        <w:pStyle w:val="Normal"/>
        <w:ind w:start="4680" w:end="0"/>
        <w:jc w:val="both"/>
        <w:rPr/>
      </w:pPr>
      <w:r>
        <w:rPr>
          <w:rFonts w:cs="Arial" w:ascii="Arial" w:hAnsi="Arial"/>
          <w:i/>
          <w:sz w:val="20"/>
        </w:rPr>
        <w:t>“</w:t>
      </w:r>
      <w:r>
        <w:rPr>
          <w:rFonts w:cs="Arial" w:ascii="Arial" w:hAnsi="Arial"/>
          <w:i/>
          <w:sz w:val="20"/>
        </w:rPr>
        <w:t>Extension Period”</w:t>
      </w:r>
      <w:r>
        <w:rPr>
          <w:rFonts w:cs="Arial" w:ascii="Arial" w:hAnsi="Arial"/>
          <w:sz w:val="20"/>
        </w:rPr>
        <w:t xml:space="preserve"> means the period of time of which an Extension Event continues.</w:t>
      </w:r>
    </w:p>
    <w:p>
      <w:pPr>
        <w:pStyle w:val="Normal"/>
        <w:ind w:hanging="3960" w:start="4680" w:end="0"/>
        <w:jc w:val="both"/>
        <w:rPr>
          <w:rFonts w:ascii="Arial" w:hAnsi="Arial" w:cs="Arial"/>
          <w:sz w:val="20"/>
        </w:rPr>
      </w:pPr>
      <w:r>
        <w:rPr>
          <w:rFonts w:cs="Arial" w:ascii="Arial" w:hAnsi="Arial"/>
          <w:sz w:val="20"/>
        </w:rPr>
      </w:r>
    </w:p>
    <w:p>
      <w:pPr>
        <w:pStyle w:val="Normal"/>
        <w:ind w:start="4680" w:end="0"/>
        <w:jc w:val="both"/>
        <w:rPr>
          <w:rFonts w:ascii="Arial" w:hAnsi="Arial" w:cs="Arial"/>
          <w:sz w:val="20"/>
        </w:rPr>
      </w:pPr>
      <w:r>
        <w:rPr>
          <w:rFonts w:cs="Arial" w:ascii="Arial" w:hAnsi="Arial"/>
          <w:sz w:val="20"/>
        </w:rPr>
        <w:t>If an Extension Event occurs during what would otherwise be the Exercise Period the (x) Option may not be exercised during the Extension Period and (y) (i) in the case of an American Style Option, the Expiration Date shall be postponed by the number of Exchange Business Days in the Extension Period (to the end that the number of Exchange Business Days in the Exercise Period shall be the same as if the Extension Event has not occurred) and (ii) in the case of a European Style Option, the Expiration Date shall be postponed until [two (2)] Exchange Business Days following the final Exchange Business Day in the Extension Period.</w:t>
      </w:r>
    </w:p>
    <w:p>
      <w:pPr>
        <w:pStyle w:val="Normal"/>
        <w:ind w:start="4680" w:end="0"/>
        <w:jc w:val="both"/>
        <w:rPr>
          <w:rFonts w:ascii="Arial" w:hAnsi="Arial" w:cs="Arial"/>
          <w:sz w:val="20"/>
        </w:rPr>
      </w:pPr>
      <w:r>
        <w:rPr>
          <w:rFonts w:cs="Arial" w:ascii="Arial" w:hAnsi="Arial"/>
          <w:sz w:val="20"/>
        </w:rPr>
      </w:r>
    </w:p>
    <w:p>
      <w:pPr>
        <w:pStyle w:val="BodyTextIndent3"/>
        <w:rPr/>
      </w:pPr>
      <w:r>
        <w:rPr/>
        <w:t>Each of Party A and Party B shall give timely notice to the other of any event which it intends to treat as an Extension Event, and as to the relevant Extension Period.</w:t>
      </w:r>
    </w:p>
    <w:p>
      <w:pPr>
        <w:pStyle w:val="BodyText"/>
        <w:keepNext w:val="true"/>
        <w:widowControl w:val="false"/>
        <w:spacing w:before="240" w:after="240"/>
        <w:jc w:val="both"/>
        <w:rPr>
          <w:rFonts w:ascii="Arial" w:hAnsi="Arial" w:cs="Arial"/>
          <w:sz w:val="20"/>
        </w:rPr>
      </w:pPr>
      <w:r>
        <w:rPr>
          <w:rFonts w:cs="Arial" w:ascii="Arial" w:hAnsi="Arial"/>
          <w:b/>
          <w:sz w:val="20"/>
          <w:u w:val="single"/>
        </w:rPr>
        <w:t>Registration</w:t>
      </w:r>
    </w:p>
    <w:tbl>
      <w:tblPr>
        <w:tblW w:w="8460" w:type="dxa"/>
        <w:jc w:val="start"/>
        <w:tblInd w:w="922" w:type="dxa"/>
        <w:tblLayout w:type="fixed"/>
        <w:tblCellMar>
          <w:top w:w="0" w:type="dxa"/>
          <w:start w:w="108" w:type="dxa"/>
          <w:bottom w:w="0" w:type="dxa"/>
          <w:end w:w="108" w:type="dxa"/>
        </w:tblCellMar>
      </w:tblPr>
      <w:tblGrid>
        <w:gridCol w:w="3780"/>
        <w:gridCol w:w="4680"/>
      </w:tblGrid>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Registration Obligation:</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With respect to any Shares, the Registration Obligation shall have been satisfied if each of the following has occurred:</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numPr>
                <w:ilvl w:val="0"/>
                <w:numId w:val="3"/>
              </w:numPr>
              <w:tabs>
                <w:tab w:val="clear" w:pos="720"/>
                <w:tab w:val="left" w:pos="522" w:leader="none"/>
              </w:tabs>
              <w:spacing w:before="0" w:after="240"/>
              <w:jc w:val="both"/>
              <w:rPr>
                <w:rFonts w:ascii="Arial" w:hAnsi="Arial" w:cs="Arial"/>
                <w:sz w:val="20"/>
              </w:rPr>
            </w:pPr>
            <w:r>
              <w:rPr>
                <w:rFonts w:cs="Arial" w:ascii="Arial" w:hAnsi="Arial"/>
                <w:sz w:val="20"/>
              </w:rPr>
              <w:t>Party B has provided Party A or its designated affiliate (“Selling Holder”) with a registration statement declared effective by the Securities and Exchange Commission (the “SEC”) covering public sale by Selling Holder of such Shares (a “Registration Statement”), and no stop order by the SEC is in effect with respect to such registration statement;</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numPr>
                <w:ilvl w:val="0"/>
                <w:numId w:val="3"/>
              </w:numPr>
              <w:tabs>
                <w:tab w:val="clear" w:pos="720"/>
                <w:tab w:val="left" w:pos="522" w:leader="none"/>
              </w:tabs>
              <w:spacing w:before="0" w:after="240"/>
              <w:jc w:val="both"/>
              <w:rPr>
                <w:rFonts w:ascii="Arial" w:hAnsi="Arial" w:cs="Arial"/>
                <w:sz w:val="20"/>
              </w:rPr>
            </w:pPr>
            <w:r>
              <w:rPr>
                <w:rFonts w:cs="Arial" w:ascii="Arial" w:hAnsi="Arial"/>
                <w:sz w:val="20"/>
              </w:rPr>
              <w:t>the contents of such Registration Statement, of the prospectus included therein, and of any prospectus supplement to the prospectus included therein is reasonably satisfactory to Selling Holder;</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numPr>
                <w:ilvl w:val="0"/>
                <w:numId w:val="3"/>
              </w:numPr>
              <w:tabs>
                <w:tab w:val="clear" w:pos="720"/>
                <w:tab w:val="left" w:pos="522" w:leader="none"/>
              </w:tabs>
              <w:spacing w:before="0" w:after="240"/>
              <w:jc w:val="both"/>
              <w:rPr>
                <w:rFonts w:ascii="Arial" w:hAnsi="Arial" w:cs="Arial"/>
                <w:sz w:val="20"/>
              </w:rPr>
            </w:pPr>
            <w:r>
              <w:rPr>
                <w:rFonts w:cs="Arial" w:ascii="Arial" w:hAnsi="Arial"/>
                <w:sz w:val="20"/>
              </w:rPr>
              <w:t>Selling Holder has been afforded the opportunity to conduct a reasonable due diligence investigation of Party B customary in scope for transactions in which Selling Holder acts as underwriter of equity securities, and Selling Holder is reasonably satisfied with the results of such investigation;</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numPr>
                <w:ilvl w:val="0"/>
                <w:numId w:val="3"/>
              </w:numPr>
              <w:tabs>
                <w:tab w:val="clear" w:pos="720"/>
                <w:tab w:val="left" w:pos="522" w:leader="none"/>
              </w:tabs>
              <w:spacing w:before="0" w:after="240"/>
              <w:jc w:val="both"/>
              <w:rPr>
                <w:rFonts w:ascii="Arial" w:hAnsi="Arial" w:cs="Arial"/>
                <w:sz w:val="20"/>
              </w:rPr>
            </w:pPr>
            <w:r>
              <w:rPr>
                <w:rFonts w:cs="Arial" w:ascii="Arial" w:hAnsi="Arial"/>
                <w:sz w:val="20"/>
              </w:rPr>
              <w:t>Party B and Selling Holder have entered into an agreement substantially similar to Selling Holder’s standard form of equity underwriting agreement (which shall include, without limitation, provisions relating to the indemnification of, and contribution in connection with the liability of, Selling Holder and its affiliates and provisions relating to the delivery to Selling Holder of officers’ certificates, legal opinions and accountants’ comfort letters) in connection with public sales by Selling Holder under the Registration Statement;</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numPr>
                <w:ilvl w:val="0"/>
                <w:numId w:val="3"/>
              </w:numPr>
              <w:spacing w:before="0" w:after="240"/>
              <w:jc w:val="both"/>
              <w:rPr>
                <w:rFonts w:ascii="Arial" w:hAnsi="Arial" w:cs="Arial"/>
                <w:sz w:val="20"/>
              </w:rPr>
            </w:pPr>
            <w:r>
              <w:rPr>
                <w:rFonts w:cs="Arial" w:ascii="Arial" w:hAnsi="Arial"/>
                <w:sz w:val="20"/>
              </w:rPr>
              <w:t xml:space="preserve">Selling Holder has reasonably concluded that no legal, regulatory or self-regulatory requirement or related policy or procedure requires it to refrain from transacting in Shares at the time public sale of the relevant Shares would occur;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it shall not be an Event of Default if Party B’s failure to meet the Registration Obligation is based on Selling Holder’s having so concluded; and</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numPr>
                <w:ilvl w:val="0"/>
                <w:numId w:val="3"/>
              </w:numPr>
              <w:spacing w:before="0" w:after="240"/>
              <w:jc w:val="both"/>
              <w:rPr>
                <w:rFonts w:ascii="Arial" w:hAnsi="Arial" w:cs="Arial"/>
                <w:sz w:val="20"/>
              </w:rPr>
            </w:pPr>
            <w:r>
              <w:rPr>
                <w:rFonts w:cs="Arial" w:ascii="Arial" w:hAnsi="Arial"/>
                <w:sz w:val="20"/>
              </w:rPr>
              <w:t xml:space="preserve">If the aggregate number of Shares subject to the Registration Obligation exceeds 100,000, Party B shall pay Selling Holder a one-time fee in the amount of USD [], which fee shall be payable immediately upon the occurrence of both (x) Selling Holder’s agreement with Party B to act as underwriter and (y) such underwriting being with respect to greater than 100,000 Shares in the aggregate through one or more such offerings.  </w:t>
            </w:r>
          </w:p>
        </w:tc>
      </w:tr>
      <w:tr>
        <w:trPr/>
        <w:tc>
          <w:tcPr>
            <w:tcW w:w="3780" w:type="dxa"/>
            <w:tcBorders/>
          </w:tcPr>
          <w:p>
            <w:pPr>
              <w:pStyle w:val="Normal"/>
              <w:widowControl w:val="false"/>
              <w:jc w:val="both"/>
              <w:rPr>
                <w:rFonts w:ascii="Arial" w:hAnsi="Arial" w:cs="Arial"/>
                <w:sz w:val="20"/>
              </w:rPr>
            </w:pPr>
            <w:r>
              <w:rPr>
                <w:rFonts w:cs="Arial" w:ascii="Arial" w:hAnsi="Arial"/>
                <w:sz w:val="20"/>
              </w:rPr>
              <w:t>Registration Clause:</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 xml:space="preserve">Notwithstanding the foregoing, Party B agrees that Party A shall have the right to demand that Party B fulfill the Registration Obligation with respect to sales of any Shares held by Party A as its hedge, provided that Party A shall not exercise such right unless it is advised by reputable counsel that such registration is required. </w:t>
            </w:r>
          </w:p>
        </w:tc>
      </w:tr>
      <w:tr>
        <w:trPr/>
        <w:tc>
          <w:tcPr>
            <w:tcW w:w="3780" w:type="dxa"/>
            <w:tcBorders/>
          </w:tcPr>
          <w:p>
            <w:pPr>
              <w:pStyle w:val="Normal"/>
              <w:widowControl w:val="false"/>
              <w:jc w:val="both"/>
              <w:rPr>
                <w:rFonts w:ascii="Arial" w:hAnsi="Arial" w:cs="Arial"/>
                <w:sz w:val="20"/>
              </w:rPr>
            </w:pPr>
            <w:r>
              <w:rPr>
                <w:rFonts w:cs="Arial" w:ascii="Arial" w:hAnsi="Arial"/>
                <w:sz w:val="20"/>
              </w:rPr>
              <w:t>Indemnity:</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Party B agrees to indemnify and hold harmless Party A, the directors, officers, employees and agents of Party A, each person who controls Party A within the meaning of either the Securities Act of 1933, as amended (the “1933 Act”) or the Securities Exchange Act of 1934, as amended, (the “1934 Act”) (or any similar statutes then in effect) and DBS, against any and all losses, claims, damages, liabilities or expenses, joint or several, to which Party A or such person may become subject under the 1933 Act, the 1934 Act or other Federal or state statutory law or regulation, at common law or otherwise, insofar as such losses, claims, damages, liabilities or expenses (or actions or investigations or proceedings commenced or threatened in respect thereof) arise out of or are based upon any untrue statement or alleged untrue statement of a material fact contained in any public filings made by Party B at any time pursuant to the 1934 Act or in any registration statement filed by Party B in connection with the issuance or sale of any Shares and, in each case, used by Party A in connection with the sale of any Restricted Shares, or arise out of or are based upon the omission or alleged omission to state in any such filing or registration statement a material fact required to be stated therein or necessary to make the statements therein not misleading, and agrees to reimburse each such indemnified party, as incurred, for any legal or other expenses reasonably incurred by them in connection with investigating or defending any action, investigation or proceeding.</w:t>
            </w:r>
          </w:p>
        </w:tc>
      </w:tr>
    </w:tbl>
    <w:p>
      <w:pPr>
        <w:pStyle w:val="BodyText"/>
        <w:keepNext w:val="true"/>
        <w:widowControl w:val="false"/>
        <w:spacing w:before="240" w:after="240"/>
        <w:jc w:val="both"/>
        <w:rPr/>
      </w:pPr>
      <w:r>
        <w:rPr/>
        <w:t>Early Termination of Remaining Transactions</w:t>
      </w:r>
    </w:p>
    <w:tbl>
      <w:tblPr>
        <w:tblW w:w="8460" w:type="dxa"/>
        <w:jc w:val="start"/>
        <w:tblInd w:w="922" w:type="dxa"/>
        <w:tblLayout w:type="fixed"/>
        <w:tblCellMar>
          <w:top w:w="0" w:type="dxa"/>
          <w:start w:w="108" w:type="dxa"/>
          <w:bottom w:w="0" w:type="dxa"/>
          <w:end w:w="108" w:type="dxa"/>
        </w:tblCellMar>
      </w:tblPr>
      <w:tblGrid>
        <w:gridCol w:w="3780"/>
        <w:gridCol w:w="4680"/>
      </w:tblGrid>
      <w:tr>
        <w:trPr/>
        <w:tc>
          <w:tcPr>
            <w:tcW w:w="3780" w:type="dxa"/>
            <w:tcBorders/>
          </w:tcPr>
          <w:p>
            <w:pPr>
              <w:pStyle w:val="Normal"/>
              <w:widowControl w:val="false"/>
              <w:jc w:val="both"/>
              <w:rPr>
                <w:rFonts w:ascii="Arial" w:hAnsi="Arial" w:cs="Arial"/>
                <w:sz w:val="20"/>
              </w:rPr>
            </w:pPr>
            <w:r>
              <w:rPr>
                <w:rFonts w:cs="Arial" w:ascii="Arial" w:hAnsi="Arial"/>
                <w:sz w:val="20"/>
              </w:rPr>
              <w:t>Early Termination Right:</w:t>
            </w:r>
          </w:p>
        </w:tc>
        <w:tc>
          <w:tcPr>
            <w:tcW w:w="4680" w:type="dxa"/>
            <w:tcBorders/>
          </w:tcPr>
          <w:p>
            <w:pPr>
              <w:pStyle w:val="Normal"/>
              <w:widowControl w:val="false"/>
              <w:tabs>
                <w:tab w:val="clear" w:pos="720"/>
                <w:tab w:val="left" w:pos="518" w:leader="none"/>
              </w:tabs>
              <w:spacing w:before="0" w:after="240"/>
              <w:jc w:val="both"/>
              <w:rPr/>
            </w:pPr>
            <w:r>
              <w:rPr>
                <w:rFonts w:cs="Arial" w:ascii="Arial" w:hAnsi="Arial"/>
                <w:sz w:val="20"/>
              </w:rPr>
              <w:t>Subject to satisfaction of each of the Early Termination Conditions</w:t>
            </w:r>
            <w:r>
              <w:rPr>
                <w:rFonts w:cs="Arial" w:ascii="Arial" w:hAnsi="Arial"/>
              </w:rPr>
              <w:t xml:space="preserve"> </w:t>
            </w:r>
            <w:r>
              <w:rPr>
                <w:rFonts w:cs="Arial" w:ascii="Arial" w:hAnsi="Arial"/>
                <w:sz w:val="20"/>
              </w:rPr>
              <w:t>and provided that no Termination Event or Event of Default shall have occurred and then be continuing with respect to the party making the election hereunder, either party may terminate this Transaction in whole or in part by designating an earlier Exchange Business Day as the “Optional Early Termination Date”.  In connection with any such early termination, (i) the Optional Early Termination Date shall be deemed to be the final Valuation Date with respect to the Early Termination Shares, and the Equity Amount shall be calculated and paid accordingly with respect to the Early Termination Shares, (ii) the Number of Shares applicable to the remaining portion of this Transaction (in the case of a partial termination) shall be reduced by the number of Early Termination Shares and (iii) with respect to any portion of this Transaction not subject to such early termination, all other valuations and payments under this Confirmation shall be made in the ordinary course as provided herein.</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tabs>
                <w:tab w:val="clear" w:pos="720"/>
                <w:tab w:val="left" w:pos="518" w:leader="none"/>
              </w:tabs>
              <w:spacing w:before="0" w:after="240"/>
              <w:jc w:val="both"/>
              <w:rPr>
                <w:rFonts w:ascii="Arial" w:hAnsi="Arial" w:cs="Arial"/>
                <w:sz w:val="20"/>
              </w:rPr>
            </w:pPr>
            <w:r>
              <w:rPr>
                <w:rFonts w:cs="Arial" w:ascii="Arial" w:hAnsi="Arial"/>
                <w:sz w:val="20"/>
              </w:rPr>
              <w:t xml:space="preserve">If Party B elects to pay such Equity Amount in Net Shares, it shall so elect 30 days on or before the designated Optional Early Termination Date, and any such election shall be subject to the satisfaction of the Registration Obligation prior to deliver of such Net Shares. </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If any Net Shares delivered by Party B to Party A in respect of the Equity Amount are sold by Party A for an amount less than such Equity Amount, then Party B shall satisfy the Early Termination Make-Whole Obligation.</w:t>
            </w:r>
          </w:p>
        </w:tc>
      </w:tr>
      <w:tr>
        <w:trPr/>
        <w:tc>
          <w:tcPr>
            <w:tcW w:w="3780" w:type="dxa"/>
            <w:tcBorders/>
          </w:tcPr>
          <w:p>
            <w:pPr>
              <w:pStyle w:val="Normal"/>
              <w:widowControl w:val="false"/>
              <w:jc w:val="both"/>
              <w:rPr>
                <w:rFonts w:ascii="Arial" w:hAnsi="Arial" w:cs="Arial"/>
                <w:sz w:val="20"/>
              </w:rPr>
            </w:pPr>
            <w:r>
              <w:rPr>
                <w:rFonts w:cs="Arial" w:ascii="Arial" w:hAnsi="Arial"/>
                <w:sz w:val="20"/>
              </w:rPr>
              <w:t>Early Termination Shares:</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 xml:space="preserve">The number of Shares designated by the party exercising the Early Termination Right as to the portion of this Transaction to be subject to Early Termination.  </w:t>
            </w:r>
          </w:p>
        </w:tc>
      </w:tr>
      <w:tr>
        <w:trPr/>
        <w:tc>
          <w:tcPr>
            <w:tcW w:w="3780" w:type="dxa"/>
            <w:tcBorders/>
          </w:tcPr>
          <w:p>
            <w:pPr>
              <w:pStyle w:val="Normal"/>
              <w:widowControl w:val="false"/>
              <w:jc w:val="both"/>
              <w:rPr>
                <w:rFonts w:ascii="Arial" w:hAnsi="Arial" w:cs="Arial"/>
                <w:sz w:val="20"/>
              </w:rPr>
            </w:pPr>
            <w:r>
              <w:rPr>
                <w:rFonts w:cs="Arial" w:ascii="Arial" w:hAnsi="Arial"/>
                <w:sz w:val="20"/>
              </w:rPr>
              <w:t>Early Termination Make-Whole Obligation:</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 xml:space="preserve">Upon Party B’s satisfaction of the Registration Obligation in respect of any Net Shares delivered to Party A, Party A shall sell such Net Shares delivered by Party B in payment of the Equity Amount in connection with such Early Termination as promptly thereafter as Party A determines is reasonable.  If the net cash proceeds resulting from such sale (and the sale of any other Net Shares made by Party A in connection with Early Termination) is less than the product of such Early Termination Shares (and such Net Shares) and the Final Price determined in respect of such Optional Early Termination Date, then Party B shall immediately pay Party A, either in cash or Net Shares, if the Registration Obligation is met with respect to such Net Shares, an amount equal to the excess of such product over such net cash proceeds.  If Net Shares are delivered, then Party A shall sell such Net Shares as promptly thereafter as Party A determines is reasonable and apply the proceeds to Party B’s obligations under this paragraph.  To the extent there is a deficiency, this paragraph shall be applied as many times as necessary until there is no such deficiency.  </w:t>
            </w:r>
          </w:p>
        </w:tc>
      </w:tr>
      <w:tr>
        <w:trPr/>
        <w:tc>
          <w:tcPr>
            <w:tcW w:w="3780" w:type="dxa"/>
            <w:tcBorders/>
          </w:tcPr>
          <w:p>
            <w:pPr>
              <w:pStyle w:val="Normal"/>
              <w:widowControl w:val="false"/>
              <w:jc w:val="both"/>
              <w:rPr>
                <w:rFonts w:ascii="Arial" w:hAnsi="Arial" w:cs="Arial"/>
                <w:sz w:val="20"/>
              </w:rPr>
            </w:pPr>
            <w:r>
              <w:rPr>
                <w:rFonts w:cs="Arial" w:ascii="Arial" w:hAnsi="Arial"/>
                <w:sz w:val="20"/>
              </w:rPr>
              <w:t xml:space="preserve">Party A Early Termination Condition: </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The price per Share at any time on any Exchange Business Day is less than or equal to 50% of the Benchmark Price.</w:t>
            </w:r>
          </w:p>
        </w:tc>
      </w:tr>
      <w:tr>
        <w:trPr/>
        <w:tc>
          <w:tcPr>
            <w:tcW w:w="3780" w:type="dxa"/>
            <w:tcBorders/>
          </w:tcPr>
          <w:p>
            <w:pPr>
              <w:pStyle w:val="Normal"/>
              <w:widowControl w:val="false"/>
              <w:jc w:val="both"/>
              <w:rPr>
                <w:rFonts w:ascii="Arial" w:hAnsi="Arial" w:cs="Arial"/>
                <w:sz w:val="20"/>
              </w:rPr>
            </w:pPr>
            <w:r>
              <w:rPr>
                <w:rFonts w:cs="Arial" w:ascii="Arial" w:hAnsi="Arial"/>
                <w:sz w:val="20"/>
              </w:rPr>
              <w:t xml:space="preserve">Party B Early Termination Conditions: </w:t>
            </w:r>
          </w:p>
        </w:tc>
        <w:tc>
          <w:tcPr>
            <w:tcW w:w="4680" w:type="dxa"/>
            <w:tcBorders/>
          </w:tcPr>
          <w:p>
            <w:pPr>
              <w:pStyle w:val="Normal"/>
              <w:widowControl w:val="false"/>
              <w:numPr>
                <w:ilvl w:val="0"/>
                <w:numId w:val="4"/>
              </w:numPr>
              <w:spacing w:before="0" w:after="240"/>
              <w:jc w:val="both"/>
              <w:rPr>
                <w:rFonts w:ascii="Arial" w:hAnsi="Arial" w:cs="Arial"/>
                <w:sz w:val="20"/>
              </w:rPr>
            </w:pPr>
            <w:r>
              <w:rPr>
                <w:rFonts w:cs="Arial" w:ascii="Arial" w:hAnsi="Arial"/>
                <w:sz w:val="20"/>
              </w:rPr>
              <w:t>Party B shall provide Party A with written notice of its intent to exercise such right at least 30 Exchange Business Days prior to the designated Optional Early Termination Date;</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numPr>
                <w:ilvl w:val="0"/>
                <w:numId w:val="4"/>
              </w:numPr>
              <w:spacing w:before="0" w:after="240"/>
              <w:jc w:val="both"/>
              <w:rPr>
                <w:rFonts w:ascii="Arial" w:hAnsi="Arial" w:cs="Arial"/>
                <w:sz w:val="20"/>
              </w:rPr>
            </w:pPr>
            <w:r>
              <w:rPr>
                <w:rFonts w:cs="Arial" w:ascii="Arial" w:hAnsi="Arial"/>
                <w:sz w:val="20"/>
              </w:rPr>
              <w:t xml:space="preserve">the Registration Obligation shall have been satisfied with respect to any Net Shares to be delivered by Party B on the Equity Payment Date of such termination at least 20 Exchange Business Days prior to the Early Termination Date; and </w:t>
            </w:r>
          </w:p>
        </w:tc>
      </w:tr>
      <w:tr>
        <w:trPr>
          <w:trHeight w:val="873" w:hRule="atLeast"/>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spacing w:before="0" w:after="240"/>
              <w:ind w:hanging="605" w:start="605" w:end="0"/>
              <w:jc w:val="both"/>
              <w:rPr>
                <w:rFonts w:ascii="Arial" w:hAnsi="Arial" w:cs="Arial"/>
                <w:sz w:val="20"/>
              </w:rPr>
            </w:pPr>
            <w:r>
              <w:rPr>
                <w:rFonts w:cs="Arial" w:ascii="Arial" w:hAnsi="Arial"/>
                <w:sz w:val="20"/>
              </w:rPr>
              <w:t>(iii)   the number of Early Termination Shares shall be no less than 100,000 Shares.</w:t>
            </w:r>
          </w:p>
        </w:tc>
      </w:tr>
      <w:tr>
        <w:trPr/>
        <w:tc>
          <w:tcPr>
            <w:tcW w:w="3780" w:type="dxa"/>
            <w:tcBorders/>
          </w:tcPr>
          <w:p>
            <w:pPr>
              <w:pStyle w:val="Normal"/>
              <w:widowControl w:val="false"/>
              <w:jc w:val="both"/>
              <w:rPr>
                <w:rFonts w:ascii="Arial" w:hAnsi="Arial" w:cs="Arial"/>
                <w:sz w:val="20"/>
              </w:rPr>
            </w:pPr>
            <w:r>
              <w:rPr>
                <w:rFonts w:cs="Arial" w:ascii="Arial" w:hAnsi="Arial"/>
                <w:sz w:val="20"/>
              </w:rPr>
              <w:t>Party B Early Termination Consideration:</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 xml:space="preserve">In consideration for any early termination, and in addition to any other payment in connection with such termination, Party B shall pay to Party A on the Equity Payment Date an amount in cash equal to: </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USD 0.50 x number of Party B Early Termination Shares</w:t>
            </w:r>
          </w:p>
        </w:tc>
      </w:tr>
      <w:tr>
        <w:trPr/>
        <w:tc>
          <w:tcPr>
            <w:tcW w:w="3780" w:type="dxa"/>
            <w:tcBorders/>
          </w:tcPr>
          <w:p>
            <w:pPr>
              <w:pStyle w:val="Normal"/>
              <w:widowControl w:val="false"/>
              <w:snapToGrid w:val="false"/>
              <w:jc w:val="both"/>
              <w:rPr>
                <w:rFonts w:ascii="Arial" w:hAnsi="Arial" w:cs="Arial"/>
                <w:sz w:val="20"/>
              </w:rPr>
            </w:pPr>
            <w:r>
              <w:rPr>
                <w:rFonts w:cs="Arial" w:ascii="Arial" w:hAnsi="Arial"/>
                <w:sz w:val="20"/>
              </w:rPr>
            </w:r>
          </w:p>
        </w:tc>
        <w:tc>
          <w:tcPr>
            <w:tcW w:w="4680" w:type="dxa"/>
            <w:tcBorders/>
          </w:tcPr>
          <w:p>
            <w:pPr>
              <w:pStyle w:val="Normal"/>
              <w:widowControl w:val="false"/>
              <w:snapToGrid w:val="false"/>
              <w:spacing w:before="0" w:after="240"/>
              <w:jc w:val="both"/>
              <w:rPr>
                <w:rFonts w:ascii="Arial" w:hAnsi="Arial" w:cs="Arial"/>
                <w:sz w:val="20"/>
              </w:rPr>
            </w:pPr>
            <w:r>
              <w:rPr>
                <w:rFonts w:cs="Arial" w:ascii="Arial" w:hAnsi="Arial"/>
                <w:sz w:val="20"/>
              </w:rPr>
            </w:r>
          </w:p>
        </w:tc>
      </w:tr>
    </w:tbl>
    <w:p>
      <w:pPr>
        <w:pStyle w:val="BodyText"/>
        <w:keepNext w:val="true"/>
        <w:widowControl w:val="false"/>
        <w:jc w:val="both"/>
        <w:rPr>
          <w:rFonts w:ascii="Arial" w:hAnsi="Arial" w:cs="Arial"/>
          <w:sz w:val="20"/>
        </w:rPr>
      </w:pPr>
      <w:r>
        <w:rPr>
          <w:rFonts w:cs="Arial" w:ascii="Arial" w:hAnsi="Arial"/>
          <w:b/>
          <w:sz w:val="20"/>
          <w:u w:val="single"/>
        </w:rPr>
        <w:t>Adjustments</w:t>
      </w:r>
    </w:p>
    <w:tbl>
      <w:tblPr>
        <w:tblW w:w="8460" w:type="dxa"/>
        <w:jc w:val="start"/>
        <w:tblInd w:w="918" w:type="dxa"/>
        <w:tblLayout w:type="fixed"/>
        <w:tblCellMar>
          <w:top w:w="0" w:type="dxa"/>
          <w:start w:w="108" w:type="dxa"/>
          <w:bottom w:w="0" w:type="dxa"/>
          <w:end w:w="108" w:type="dxa"/>
        </w:tblCellMar>
      </w:tblPr>
      <w:tblGrid>
        <w:gridCol w:w="3780"/>
        <w:gridCol w:w="4680"/>
      </w:tblGrid>
      <w:tr>
        <w:trPr/>
        <w:tc>
          <w:tcPr>
            <w:tcW w:w="3780" w:type="dxa"/>
            <w:tcBorders/>
          </w:tcPr>
          <w:p>
            <w:pPr>
              <w:pStyle w:val="Normal"/>
              <w:widowControl w:val="false"/>
              <w:jc w:val="both"/>
              <w:rPr>
                <w:rFonts w:ascii="Arial" w:hAnsi="Arial" w:cs="Arial"/>
                <w:sz w:val="20"/>
              </w:rPr>
            </w:pPr>
            <w:r>
              <w:rPr>
                <w:rFonts w:cs="Arial" w:ascii="Arial" w:hAnsi="Arial"/>
                <w:sz w:val="20"/>
              </w:rPr>
              <w:t>Method of Adjustment:</w:t>
            </w:r>
          </w:p>
        </w:tc>
        <w:tc>
          <w:tcPr>
            <w:tcW w:w="4680" w:type="dxa"/>
            <w:tcBorders/>
          </w:tcPr>
          <w:p>
            <w:pPr>
              <w:pStyle w:val="Normal"/>
              <w:widowControl w:val="false"/>
              <w:jc w:val="both"/>
              <w:rPr>
                <w:rFonts w:ascii="Arial" w:hAnsi="Arial" w:cs="Arial"/>
                <w:sz w:val="20"/>
              </w:rPr>
            </w:pPr>
            <w:r>
              <w:rPr>
                <w:rFonts w:cs="Arial" w:ascii="Arial" w:hAnsi="Arial"/>
                <w:sz w:val="20"/>
              </w:rPr>
              <w:t>Calculation Agent Adjustment</w:t>
            </w:r>
          </w:p>
          <w:p>
            <w:pPr>
              <w:pStyle w:val="Normal"/>
              <w:widowControl w:val="false"/>
              <w:jc w:val="both"/>
              <w:rPr>
                <w:rFonts w:ascii="Arial" w:hAnsi="Arial" w:cs="Arial"/>
                <w:sz w:val="20"/>
              </w:rPr>
            </w:pPr>
            <w:r>
              <w:rPr>
                <w:rFonts w:cs="Arial" w:ascii="Arial" w:hAnsi="Arial"/>
                <w:sz w:val="20"/>
              </w:rPr>
            </w:r>
          </w:p>
        </w:tc>
      </w:tr>
      <w:tr>
        <w:trPr/>
        <w:tc>
          <w:tcPr>
            <w:tcW w:w="3780" w:type="dxa"/>
            <w:tcBorders/>
          </w:tcPr>
          <w:p>
            <w:pPr>
              <w:pStyle w:val="Normal"/>
              <w:widowControl w:val="false"/>
              <w:jc w:val="both"/>
              <w:rPr>
                <w:rFonts w:ascii="Arial" w:hAnsi="Arial" w:cs="Arial"/>
                <w:sz w:val="20"/>
              </w:rPr>
            </w:pPr>
            <w:r>
              <w:rPr>
                <w:rFonts w:cs="Arial" w:ascii="Arial" w:hAnsi="Arial"/>
                <w:sz w:val="20"/>
              </w:rPr>
              <w:t>Potential Adjustment Event:</w:t>
            </w:r>
          </w:p>
        </w:tc>
        <w:tc>
          <w:tcPr>
            <w:tcW w:w="4680" w:type="dxa"/>
            <w:tcBorders/>
          </w:tcPr>
          <w:p>
            <w:pPr>
              <w:pStyle w:val="Normal"/>
              <w:widowControl w:val="false"/>
              <w:jc w:val="both"/>
              <w:rPr>
                <w:rFonts w:ascii="Arial" w:hAnsi="Arial" w:cs="Arial"/>
                <w:sz w:val="20"/>
              </w:rPr>
            </w:pPr>
            <w:r>
              <w:rPr>
                <w:rFonts w:cs="Arial" w:ascii="Arial" w:hAnsi="Arial"/>
                <w:sz w:val="20"/>
              </w:rPr>
              <w:t>For the purpose of Section 9.1(e)(iii) of the Equity Definitions, an “Extraordinary Dividend” means, as determined by the Calculation Agent, (x) any cash dividend declared on the Shares at a time when the Issuer has not previously declared or paid dividends on such Shares for the prior four quarterly periods; or (y) any increase by more than 25% (determined on an annualized basis) in the dividends paid on the Shares; or (z) any other “special” cash or non-cash dividend on, or distribution with respect to, the Shares which is, by its terms or declared intent, declared and paid outside the normal operations or normal dividend procedures of the relevant Issuer; provided that, in all cases, the related ex-dividend date occurs during the period from but excluding the Trade Date up to and including the final Valuation Date; and, if applicable, the Calculation Agent Adjustment shall include any relevant change to the Shares to take into account such distribution.</w:t>
            </w:r>
          </w:p>
        </w:tc>
      </w:tr>
    </w:tbl>
    <w:p>
      <w:pPr>
        <w:pStyle w:val="BodyText"/>
        <w:keepNext w:val="true"/>
        <w:widowControl w:val="false"/>
        <w:spacing w:before="240" w:after="240"/>
        <w:jc w:val="both"/>
        <w:rPr/>
      </w:pPr>
      <w:r>
        <w:rPr/>
        <w:t>Extraordinary Events</w:t>
      </w:r>
    </w:p>
    <w:tbl>
      <w:tblPr>
        <w:tblW w:w="8460" w:type="dxa"/>
        <w:jc w:val="start"/>
        <w:tblInd w:w="918" w:type="dxa"/>
        <w:tblLayout w:type="fixed"/>
        <w:tblCellMar>
          <w:top w:w="0" w:type="dxa"/>
          <w:start w:w="108" w:type="dxa"/>
          <w:bottom w:w="0" w:type="dxa"/>
          <w:end w:w="108" w:type="dxa"/>
        </w:tblCellMar>
      </w:tblPr>
      <w:tblGrid>
        <w:gridCol w:w="3780"/>
        <w:gridCol w:w="4680"/>
      </w:tblGrid>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Consequences of Merger Events:</w:t>
            </w:r>
          </w:p>
        </w:tc>
        <w:tc>
          <w:tcPr>
            <w:tcW w:w="4680" w:type="dxa"/>
            <w:tcBorders/>
          </w:tcPr>
          <w:p>
            <w:pPr>
              <w:pStyle w:val="Normal"/>
              <w:widowControl w:val="false"/>
              <w:snapToGrid w:val="false"/>
              <w:spacing w:before="0" w:after="240"/>
              <w:jc w:val="both"/>
              <w:rPr>
                <w:rFonts w:ascii="Arial" w:hAnsi="Arial" w:cs="Arial"/>
                <w:sz w:val="20"/>
              </w:rPr>
            </w:pPr>
            <w:r>
              <w:rPr>
                <w:rFonts w:cs="Arial" w:ascii="Arial" w:hAnsi="Arial"/>
                <w:sz w:val="20"/>
              </w:rPr>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(a)</w:t>
              <w:tab/>
              <w:t>Share-for-Share:</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Alternative Obligation</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(b)</w:t>
              <w:tab/>
              <w:t>Share-for-Other:</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Alternative Obligation</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(c)</w:t>
              <w:tab/>
              <w:t>Share-for-Cash:</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Means a Share-for-Other Merger Event in which the Other Consideration consists solely of cash. Calculation Agent Adjustment shall apply to this Merger Event as if such method was specified as a Consequence of Merger Event; provided that if in the Calculation Agent’s reasonable judgment such Consequence cannot or would not provide a commercially reasonable result, then Cancellation and Payment (as modified below) shall apply.</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(d)</w:t>
              <w:tab/>
              <w:t>Share-for-Combined:</w:t>
            </w:r>
          </w:p>
        </w:tc>
        <w:tc>
          <w:tcPr>
            <w:tcW w:w="4680" w:type="dxa"/>
            <w:tcBorders/>
          </w:tcPr>
          <w:p>
            <w:pPr>
              <w:pStyle w:val="Normal"/>
              <w:widowControl w:val="false"/>
              <w:spacing w:before="0" w:after="240"/>
              <w:jc w:val="both"/>
              <w:rPr/>
            </w:pPr>
            <w:r>
              <w:rPr>
                <w:rFonts w:cs="Arial" w:ascii="Arial" w:hAnsi="Arial"/>
                <w:sz w:val="20"/>
              </w:rPr>
              <w:t>Alternative Obligation</w:t>
            </w:r>
            <w:r>
              <w:rPr/>
              <w:t xml:space="preserve">; </w:t>
            </w:r>
            <w:r>
              <w:rPr>
                <w:rFonts w:cs="Arial" w:ascii="Arial" w:hAnsi="Arial"/>
                <w:sz w:val="20"/>
                <w:u w:val="single"/>
              </w:rPr>
              <w:t>provided</w:t>
            </w:r>
            <w:r>
              <w:rPr>
                <w:rFonts w:cs="Arial" w:ascii="Arial" w:hAnsi="Arial"/>
                <w:sz w:val="20"/>
              </w:rPr>
              <w:t>, that if in the Calculation Agent’s reasonable judgment such Consequence cannot or would not provide a commercially reasonable result, then Cancellation and Payment (as modified below) shall apply.</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Nationalisation or Insolvency:</w:t>
            </w:r>
          </w:p>
        </w:tc>
        <w:tc>
          <w:tcPr>
            <w:tcW w:w="4680" w:type="dxa"/>
            <w:tcBorders/>
          </w:tcPr>
          <w:p>
            <w:pPr>
              <w:pStyle w:val="Normal"/>
              <w:widowControl w:val="false"/>
              <w:spacing w:before="0" w:after="240"/>
              <w:jc w:val="both"/>
              <w:rPr>
                <w:rFonts w:ascii="Arial" w:hAnsi="Arial" w:cs="Arial"/>
                <w:sz w:val="20"/>
              </w:rPr>
            </w:pPr>
            <w:r>
              <w:rPr>
                <w:rFonts w:cs="Arial" w:ascii="Arial" w:hAnsi="Arial"/>
                <w:sz w:val="20"/>
              </w:rPr>
              <w:t>Cancellation and Payment (as modified below)</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Cancellation and Payment:</w:t>
            </w:r>
          </w:p>
        </w:tc>
        <w:tc>
          <w:tcPr>
            <w:tcW w:w="4680" w:type="dxa"/>
            <w:tcBorders/>
          </w:tcPr>
          <w:p>
            <w:pPr>
              <w:pStyle w:val="flushunder"/>
              <w:keepNext w:val="false"/>
              <w:widowControl w:val="false"/>
              <w:spacing w:before="0" w:after="240"/>
              <w:jc w:val="both"/>
              <w:rPr>
                <w:rFonts w:ascii="Arial" w:hAnsi="Arial" w:cs="Arial"/>
                <w:b w:val="false"/>
                <w:sz w:val="20"/>
                <w:u w:val="none"/>
              </w:rPr>
            </w:pPr>
            <w:r>
              <w:rPr>
                <w:rFonts w:cs="Arial" w:ascii="Arial" w:hAnsi="Arial"/>
                <w:b w:val="false"/>
                <w:sz w:val="20"/>
                <w:u w:val="none"/>
              </w:rPr>
              <w:t>Shall have the meaning set forth in the relevant sections of the Equity Definitions; provided, however, that for purposes of this Transaction, subsection (Y) of Sections 9.3(b)(ii), 9.3(d)(ii) and 9.6(c)(ii) referring to the use of “Market Quotation” as payment measure is hereby deemed deleted and inserted with the word “Loss”, in each instance in which Cancellation and Payment is used herein and in the Equity Definitions</w:t>
            </w:r>
          </w:p>
        </w:tc>
      </w:tr>
      <w:tr>
        <w:trPr/>
        <w:tc>
          <w:tcPr>
            <w:tcW w:w="3780" w:type="dxa"/>
            <w:tcBorders/>
          </w:tcPr>
          <w:p>
            <w:pPr>
              <w:pStyle w:val="Normal"/>
              <w:widowControl w:val="false"/>
              <w:spacing w:before="0" w:after="240"/>
              <w:jc w:val="both"/>
              <w:rPr>
                <w:rFonts w:ascii="Arial" w:hAnsi="Arial" w:cs="Arial"/>
                <w:sz w:val="20"/>
              </w:rPr>
            </w:pPr>
            <w:r>
              <w:rPr>
                <w:rFonts w:cs="Arial" w:ascii="Arial" w:hAnsi="Arial"/>
                <w:sz w:val="20"/>
              </w:rPr>
              <w:t>Additional Termination Event:</w:t>
            </w:r>
          </w:p>
        </w:tc>
        <w:tc>
          <w:tcPr>
            <w:tcW w:w="4680" w:type="dxa"/>
            <w:tcBorders/>
          </w:tcPr>
          <w:p>
            <w:pPr>
              <w:pStyle w:val="flushunder"/>
              <w:keepNext w:val="false"/>
              <w:widowControl w:val="false"/>
              <w:spacing w:before="0" w:after="240"/>
              <w:jc w:val="both"/>
              <w:rPr>
                <w:rFonts w:ascii="Arial" w:hAnsi="Arial" w:cs="Arial"/>
                <w:b w:val="false"/>
                <w:sz w:val="20"/>
                <w:u w:val="none"/>
              </w:rPr>
            </w:pPr>
            <w:r>
              <w:rPr>
                <w:rFonts w:cs="Arial" w:ascii="Arial" w:hAnsi="Arial"/>
                <w:b w:val="false"/>
                <w:sz w:val="20"/>
                <w:u w:val="none"/>
              </w:rPr>
              <w:t>The occurrence of the following event shall constitute an Additional Termination Event with respect to this Transaction which shall be deemed to be the sole affected transaction, and the amount payable, if any, by one or the other party shall be determined by the Calculation Agent as if there were two Affected Parties:</w:t>
            </w:r>
          </w:p>
        </w:tc>
      </w:tr>
      <w:tr>
        <w:trPr/>
        <w:tc>
          <w:tcPr>
            <w:tcW w:w="3780" w:type="dxa"/>
            <w:tcBorders/>
          </w:tcPr>
          <w:p>
            <w:pPr>
              <w:pStyle w:val="Normal"/>
              <w:widowControl w:val="false"/>
              <w:snapToGrid w:val="false"/>
              <w:spacing w:before="0" w:after="240"/>
              <w:jc w:val="both"/>
              <w:rPr>
                <w:rFonts w:ascii="Arial" w:hAnsi="Arial" w:cs="Arial"/>
                <w:b w:val="false"/>
                <w:sz w:val="20"/>
                <w:u w:val="none"/>
              </w:rPr>
            </w:pPr>
            <w:r>
              <w:rPr>
                <w:rFonts w:cs="Arial" w:ascii="Arial" w:hAnsi="Arial"/>
                <w:b w:val="false"/>
                <w:sz w:val="20"/>
                <w:u w:val="none"/>
              </w:rPr>
            </w:r>
          </w:p>
        </w:tc>
        <w:tc>
          <w:tcPr>
            <w:tcW w:w="4680" w:type="dxa"/>
            <w:tcBorders/>
          </w:tcPr>
          <w:p>
            <w:pPr>
              <w:pStyle w:val="flushunder"/>
              <w:keepNext w:val="false"/>
              <w:widowControl w:val="false"/>
              <w:spacing w:before="0" w:after="240"/>
              <w:jc w:val="both"/>
              <w:rPr/>
            </w:pPr>
            <w:r>
              <w:rPr>
                <w:rFonts w:cs="Arial" w:ascii="Arial" w:hAnsi="Arial"/>
                <w:b w:val="false"/>
                <w:sz w:val="20"/>
                <w:u w:val="none"/>
              </w:rPr>
              <w:t xml:space="preserve">(a) Any </w:t>
            </w:r>
            <w:r>
              <w:rPr>
                <w:rFonts w:cs="Arial" w:ascii="Arial" w:hAnsi="Arial"/>
                <w:b w:val="false"/>
                <w:i/>
                <w:sz w:val="20"/>
                <w:u w:val="none"/>
              </w:rPr>
              <w:t>“Hedging Disruption Event”,</w:t>
            </w:r>
            <w:r>
              <w:rPr>
                <w:rFonts w:cs="Arial" w:ascii="Arial" w:hAnsi="Arial"/>
                <w:b w:val="false"/>
                <w:sz w:val="20"/>
                <w:u w:val="none"/>
              </w:rPr>
              <w:t xml:space="preserve"> which term shall mean with respect to either party, any inability, due to market illiquidity, Illegality (as defined in the Agreement, but with respect to the Transaction hedge), or lack of availability of hedging transaction market participants or otherwise, to establish, re-establish or maintain any hedging transaction(s) necessary in the normal course of such party’s business of hedging the price and market risk of entering into and performing under this Transaction.</w:t>
            </w:r>
          </w:p>
        </w:tc>
      </w:tr>
    </w:tbl>
    <w:p>
      <w:pPr>
        <w:pStyle w:val="Normal"/>
        <w:ind w:start="4680" w:end="54"/>
        <w:jc w:val="both"/>
        <w:rPr/>
      </w:pPr>
      <w:r>
        <w:rPr>
          <w:rFonts w:cs="Arial" w:ascii="Arial" w:hAnsi="Arial"/>
          <w:sz w:val="20"/>
        </w:rPr>
        <w:t xml:space="preserve">(b) Any </w:t>
      </w:r>
      <w:r>
        <w:rPr>
          <w:rFonts w:cs="Arial" w:ascii="Arial" w:hAnsi="Arial"/>
          <w:i/>
          <w:sz w:val="20"/>
        </w:rPr>
        <w:t>“Regulatory Change”</w:t>
      </w:r>
      <w:r>
        <w:rPr>
          <w:rFonts w:cs="Arial" w:ascii="Arial" w:hAnsi="Arial"/>
          <w:sz w:val="20"/>
        </w:rPr>
        <w:t xml:space="preserve"> that: (a) shall subject Party A or any of its Affiliates to any loss due to the characterization of any payments or deliveries made under this Transaction; (b) shall impose or adversely modifies any reserve, special deposit, compulsory loan or similar requirement against assets acquired or to be acquired pursuant to this Transaction; (c) shall, in Party A’s good faith determination (taking into account Party A’s policies with respect to net capital and capital adequacy) affect the amount of capital to be maintained by Party A or any Affiliate, or the amount of such regulatory capital is increased as a direct or indirect consequence of this Transaction; or (d) shall have the effect of reducing the rate of return on Party A’s capital as a direct or indirect consequence of this Transaction;</w:t>
      </w:r>
    </w:p>
    <w:p>
      <w:pPr>
        <w:pStyle w:val="Normal"/>
        <w:ind w:start="4680" w:end="720"/>
        <w:jc w:val="both"/>
        <w:rPr>
          <w:rFonts w:ascii="Arial" w:hAnsi="Arial" w:cs="Arial"/>
          <w:sz w:val="20"/>
        </w:rPr>
      </w:pPr>
      <w:r>
        <w:rPr>
          <w:rFonts w:cs="Arial" w:ascii="Arial" w:hAnsi="Arial"/>
          <w:sz w:val="20"/>
        </w:rPr>
      </w:r>
    </w:p>
    <w:p>
      <w:pPr>
        <w:pStyle w:val="Normal"/>
        <w:ind w:start="4680" w:end="54"/>
        <w:jc w:val="both"/>
        <w:rPr/>
      </w:pPr>
      <w:r>
        <w:rPr>
          <w:rFonts w:cs="Arial" w:ascii="Arial" w:hAnsi="Arial"/>
          <w:i/>
          <w:sz w:val="20"/>
        </w:rPr>
        <w:t>“</w:t>
      </w:r>
      <w:r>
        <w:rPr>
          <w:rFonts w:cs="Arial" w:ascii="Arial" w:hAnsi="Arial"/>
          <w:i/>
          <w:sz w:val="20"/>
        </w:rPr>
        <w:t>Regulatory Change”</w:t>
      </w:r>
      <w:r>
        <w:rPr>
          <w:rFonts w:cs="Arial" w:ascii="Arial" w:hAnsi="Arial"/>
          <w:sz w:val="20"/>
        </w:rPr>
        <w:t xml:space="preserve"> shall mean the introduction or change after the Trade Date of this Transaction in the United States or the United Kingdom (or other relevant jurisdiction of the Issuer or Exchange respecting the Shares) of any law or regulation or in the interpretation application or administration thereof, or the adoption or making after such date of any directive by the United States or the United Kingdom (or above referenced other jurisdiction) court or governmental authority or any requests (whether or not having the force of law) of any regulatory authority having jurisdiction over Party A or its Affiliates;</w:t>
      </w:r>
    </w:p>
    <w:p>
      <w:pPr>
        <w:pStyle w:val="Normal"/>
        <w:ind w:start="4680" w:end="54"/>
        <w:rPr>
          <w:rFonts w:ascii="Arial" w:hAnsi="Arial" w:cs="Arial"/>
          <w:sz w:val="20"/>
        </w:rPr>
      </w:pPr>
      <w:r>
        <w:rPr>
          <w:rFonts w:cs="Arial" w:ascii="Arial" w:hAnsi="Arial"/>
          <w:sz w:val="20"/>
        </w:rPr>
      </w:r>
    </w:p>
    <w:p>
      <w:pPr>
        <w:pStyle w:val="Normal"/>
        <w:ind w:start="4680" w:end="54"/>
        <w:jc w:val="both"/>
        <w:rPr/>
      </w:pPr>
      <w:r>
        <w:rPr>
          <w:rFonts w:cs="Arial" w:ascii="Arial" w:hAnsi="Arial"/>
          <w:sz w:val="20"/>
        </w:rPr>
        <w:t xml:space="preserve">(c)  Any </w:t>
      </w:r>
      <w:r>
        <w:rPr>
          <w:rFonts w:cs="Arial" w:ascii="Arial" w:hAnsi="Arial"/>
          <w:i/>
          <w:sz w:val="20"/>
        </w:rPr>
        <w:t>“Issuer Disruption Event”,</w:t>
      </w:r>
      <w:r>
        <w:rPr>
          <w:rFonts w:cs="Arial" w:ascii="Arial" w:hAnsi="Arial"/>
          <w:sz w:val="20"/>
        </w:rPr>
        <w:t xml:space="preserve"> which term shall mean any legal or regulatory action, order or proceeding affecting the Issuer, as a result of which the related Shares are no longer (or any Settlement Shares are not) freely tradeable (as determined by the Calculation Agent), including without limitation the issuance of any regulatory stop order respecting the Shares (or any Settlement Shares), cessation of the effectiveness of any registration statement relating to the Shares (or any Settlement Shares), the delisting or ceasing of trading of the Shares on the Exchange (other than by reason of a Market Disruption Event).</w:t>
      </w:r>
    </w:p>
    <w:p>
      <w:pPr>
        <w:pStyle w:val="Normal"/>
        <w:ind w:start="4680" w:end="0"/>
        <w:jc w:val="both"/>
        <w:rPr>
          <w:rFonts w:ascii="Arial" w:hAnsi="Arial" w:cs="Arial"/>
          <w:sz w:val="20"/>
        </w:rPr>
      </w:pPr>
      <w:r>
        <w:rPr>
          <w:rFonts w:cs="Arial" w:ascii="Arial" w:hAnsi="Arial"/>
          <w:sz w:val="20"/>
        </w:rPr>
      </w:r>
    </w:p>
    <w:p>
      <w:pPr>
        <w:pStyle w:val="Normal"/>
        <w:ind w:hanging="4590" w:start="4680" w:end="0"/>
        <w:jc w:val="both"/>
        <w:rPr>
          <w:rFonts w:ascii="Arial" w:hAnsi="Arial" w:cs="Arial"/>
          <w:b/>
          <w:sz w:val="20"/>
        </w:rPr>
      </w:pPr>
      <w:r>
        <w:rPr>
          <w:rFonts w:cs="Arial" w:ascii="Arial" w:hAnsi="Arial"/>
          <w:b/>
          <w:sz w:val="20"/>
        </w:rPr>
        <w:t>3.</w:t>
        <w:tab/>
        <w:t>Miscellaneous:</w:t>
      </w:r>
    </w:p>
    <w:p>
      <w:pPr>
        <w:pStyle w:val="Normal"/>
        <w:tabs>
          <w:tab w:val="left" w:pos="720" w:leader="none"/>
        </w:tabs>
        <w:ind w:start="4680" w:end="0"/>
        <w:jc w:val="both"/>
        <w:rPr/>
      </w:pPr>
      <w:r>
        <w:rPr>
          <w:rFonts w:cs="Arial" w:ascii="Arial" w:hAnsi="Arial"/>
          <w:sz w:val="20"/>
        </w:rPr>
        <w:t>Modifications to the Equity Definitions:</w:t>
      </w:r>
      <w:r>
        <w:rPr>
          <w:rFonts w:cs="Arial" w:ascii="Arial" w:hAnsi="Arial"/>
          <w:b/>
          <w:sz w:val="20"/>
        </w:rPr>
        <w:tab/>
      </w:r>
      <w:r>
        <w:rPr>
          <w:rFonts w:cs="Arial" w:ascii="Arial" w:hAnsi="Arial"/>
          <w:sz w:val="20"/>
          <w:u w:val="single"/>
        </w:rPr>
        <w:t>Market Disruption Event</w:t>
      </w:r>
      <w:r>
        <w:rPr>
          <w:rFonts w:cs="Arial" w:ascii="Arial" w:hAnsi="Arial"/>
          <w:b/>
          <w:sz w:val="20"/>
        </w:rPr>
        <w:t xml:space="preserve"> - </w:t>
      </w:r>
      <w:r>
        <w:rPr>
          <w:rFonts w:cs="Arial" w:ascii="Arial" w:hAnsi="Arial"/>
          <w:sz w:val="20"/>
        </w:rPr>
        <w:t xml:space="preserve">Section 4.3(a) of the Equity Definitions is hereby modified by deleting the words </w:t>
      </w:r>
      <w:r>
        <w:rPr>
          <w:rFonts w:cs="Arial" w:ascii="Arial" w:hAnsi="Arial"/>
          <w:i/>
          <w:sz w:val="20"/>
        </w:rPr>
        <w:t>“Cash-settled”</w:t>
      </w:r>
      <w:r>
        <w:rPr>
          <w:rFonts w:cs="Arial" w:ascii="Arial" w:hAnsi="Arial"/>
          <w:sz w:val="20"/>
        </w:rPr>
        <w:t xml:space="preserve"> immediately preceding the words “Option Transaction”.  </w:t>
      </w:r>
    </w:p>
    <w:p>
      <w:pPr>
        <w:pStyle w:val="Normal"/>
        <w:ind w:start="4680" w:end="720"/>
        <w:jc w:val="both"/>
        <w:rPr>
          <w:rFonts w:ascii="Arial" w:hAnsi="Arial" w:cs="Arial"/>
          <w:sz w:val="20"/>
        </w:rPr>
      </w:pPr>
      <w:r>
        <w:rPr>
          <w:rFonts w:cs="Arial" w:ascii="Arial" w:hAnsi="Arial"/>
          <w:sz w:val="20"/>
        </w:rPr>
      </w:r>
    </w:p>
    <w:p>
      <w:pPr>
        <w:pStyle w:val="BodyTextIndent"/>
        <w:widowControl w:val="false"/>
        <w:tabs>
          <w:tab w:val="clear" w:pos="900"/>
          <w:tab w:val="left" w:pos="360" w:leader="none"/>
        </w:tabs>
        <w:ind w:hanging="0" w:start="0" w:end="-18"/>
        <w:jc w:val="both"/>
        <w:rPr>
          <w:rFonts w:ascii="Arial" w:hAnsi="Arial" w:cs="Arial"/>
          <w:b/>
          <w:sz w:val="20"/>
        </w:rPr>
      </w:pPr>
      <w:r>
        <w:rPr>
          <w:rFonts w:cs="Arial" w:ascii="Arial" w:hAnsi="Arial"/>
          <w:b/>
          <w:sz w:val="20"/>
        </w:rPr>
      </w:r>
    </w:p>
    <w:p>
      <w:pPr>
        <w:pStyle w:val="BodyTextIndent"/>
        <w:widowControl w:val="false"/>
        <w:tabs>
          <w:tab w:val="clear" w:pos="900"/>
          <w:tab w:val="left" w:pos="360" w:leader="none"/>
        </w:tabs>
        <w:ind w:hanging="0" w:start="0" w:end="-18"/>
        <w:jc w:val="both"/>
        <w:rPr>
          <w:rFonts w:ascii="Arial" w:hAnsi="Arial" w:cs="Arial"/>
          <w:b/>
          <w:sz w:val="20"/>
        </w:rPr>
      </w:pPr>
      <w:r>
        <w:rPr>
          <w:rFonts w:cs="Arial" w:ascii="Arial" w:hAnsi="Arial"/>
          <w:b/>
          <w:sz w:val="20"/>
        </w:rPr>
        <w:t>4.</w:t>
        <w:tab/>
        <w:t>Ranking:</w:t>
      </w:r>
    </w:p>
    <w:p>
      <w:pPr>
        <w:pStyle w:val="BodyTextIndent"/>
        <w:widowControl w:val="false"/>
        <w:tabs>
          <w:tab w:val="clear" w:pos="900"/>
        </w:tabs>
        <w:ind w:hanging="0" w:start="360" w:end="-18"/>
        <w:jc w:val="both"/>
        <w:rPr/>
      </w:pPr>
      <w:r>
        <w:rPr>
          <w:rFonts w:cs="Arial" w:ascii="Arial" w:hAnsi="Arial"/>
          <w:sz w:val="20"/>
        </w:rPr>
        <w:t xml:space="preserve">All claims of Party A hereunder, including upon an Event of Default, shall rank </w:t>
      </w:r>
      <w:r>
        <w:rPr>
          <w:rFonts w:cs="Arial" w:ascii="Arial" w:hAnsi="Arial"/>
          <w:i/>
          <w:sz w:val="20"/>
        </w:rPr>
        <w:t>pari passu</w:t>
      </w:r>
      <w:r>
        <w:rPr>
          <w:rFonts w:cs="Arial" w:ascii="Arial" w:hAnsi="Arial"/>
          <w:sz w:val="20"/>
        </w:rPr>
        <w:t xml:space="preserve"> with the claims of general creditors of Party B.</w:t>
      </w:r>
    </w:p>
    <w:p>
      <w:pPr>
        <w:pStyle w:val="Normal"/>
        <w:tabs>
          <w:tab w:val="clear" w:pos="720"/>
          <w:tab w:val="left" w:pos="360" w:leader="none"/>
        </w:tabs>
        <w:ind w:end="-18"/>
        <w:jc w:val="both"/>
        <w:rPr>
          <w:rFonts w:ascii="Arial" w:hAnsi="Arial" w:cs="Arial"/>
          <w:sz w:val="20"/>
        </w:rPr>
      </w:pPr>
      <w:r>
        <w:rPr>
          <w:rFonts w:cs="Arial" w:ascii="Arial" w:hAnsi="Arial"/>
          <w:sz w:val="20"/>
        </w:rPr>
        <w:t>5.</w:t>
        <w:tab/>
      </w:r>
      <w:r>
        <w:rPr>
          <w:rFonts w:cs="Arial" w:ascii="Arial" w:hAnsi="Arial"/>
          <w:b/>
          <w:sz w:val="20"/>
        </w:rPr>
        <w:t>Representations:</w:t>
      </w:r>
    </w:p>
    <w:p>
      <w:pPr>
        <w:pStyle w:val="Normal"/>
        <w:tabs>
          <w:tab w:val="left" w:pos="720" w:leader="none"/>
        </w:tabs>
        <w:ind w:end="-18"/>
        <w:jc w:val="both"/>
        <w:rPr>
          <w:rFonts w:ascii="Arial" w:hAnsi="Arial" w:cs="Arial"/>
          <w:sz w:val="20"/>
        </w:rPr>
      </w:pPr>
      <w:r>
        <w:rPr>
          <w:rFonts w:cs="Arial" w:ascii="Arial" w:hAnsi="Arial"/>
          <w:sz w:val="20"/>
        </w:rPr>
      </w:r>
    </w:p>
    <w:p>
      <w:pPr>
        <w:pStyle w:val="Normal"/>
        <w:tabs>
          <w:tab w:val="clear" w:pos="720"/>
          <w:tab w:val="left" w:pos="709" w:leader="none"/>
        </w:tabs>
        <w:ind w:start="720" w:end="456"/>
        <w:jc w:val="both"/>
        <w:rPr>
          <w:rFonts w:ascii="Arial" w:hAnsi="Arial" w:cs="Arial"/>
          <w:sz w:val="20"/>
        </w:rPr>
      </w:pPr>
      <w:r>
        <w:rPr>
          <w:rFonts w:cs="Arial" w:ascii="Arial" w:hAnsi="Arial"/>
          <w:sz w:val="20"/>
        </w:rPr>
        <w:t>Each party represents to the other party as of the date that it enters into this Transaction that (absent a written agreement between the parties that expressly imposes affirmative obligations to the contrary for this Transaction):</w:t>
      </w:r>
    </w:p>
    <w:p>
      <w:pPr>
        <w:pStyle w:val="Normal"/>
        <w:tabs>
          <w:tab w:val="left" w:pos="720" w:leader="none"/>
        </w:tabs>
        <w:ind w:hanging="576" w:start="576" w:end="461"/>
        <w:jc w:val="both"/>
        <w:rPr>
          <w:rFonts w:ascii="Arial" w:hAnsi="Arial" w:cs="Arial"/>
          <w:sz w:val="20"/>
        </w:rPr>
      </w:pPr>
      <w:r>
        <w:rPr>
          <w:rFonts w:cs="Arial" w:ascii="Arial" w:hAnsi="Arial"/>
          <w:sz w:val="20"/>
        </w:rPr>
      </w:r>
    </w:p>
    <w:p>
      <w:pPr>
        <w:pStyle w:val="Normal"/>
        <w:tabs>
          <w:tab w:val="left" w:pos="720" w:leader="none"/>
          <w:tab w:val="left" w:pos="1418" w:leader="none"/>
        </w:tabs>
        <w:ind w:hanging="709" w:start="1418" w:end="180"/>
        <w:jc w:val="both"/>
        <w:rPr/>
      </w:pPr>
      <w:r>
        <w:rPr>
          <w:rFonts w:cs="Arial" w:ascii="Arial" w:hAnsi="Arial"/>
          <w:color w:val="000000"/>
          <w:sz w:val="20"/>
        </w:rPr>
        <w:t>(i)</w:t>
      </w:r>
      <w:r>
        <w:rPr>
          <w:rFonts w:cs="Arial" w:ascii="Arial" w:hAnsi="Arial"/>
          <w:b/>
          <w:color w:val="000000"/>
          <w:sz w:val="20"/>
        </w:rPr>
        <w:tab/>
      </w:r>
      <w:r>
        <w:rPr>
          <w:rFonts w:cs="Arial" w:ascii="Arial" w:hAnsi="Arial"/>
          <w:b/>
          <w:sz w:val="20"/>
        </w:rPr>
        <w:t>Non-Reliance</w:t>
      </w:r>
      <w:r>
        <w:rPr>
          <w:rFonts w:cs="Arial" w:ascii="Arial" w:hAnsi="Arial"/>
          <w:sz w:val="20"/>
        </w:rPr>
        <w:t>.  It is acting for its own account, and it has made its own independent decisions to enter into this Transaction and as to whether the Transaction is appropriate or proper for it based upon its own judgement and upon advice from such advisers as it has deemed necessary. It is not relying on any communication (written or oral) of the other party as investment advice or as a recommendation to enter into this Transaction, it being understood that information and explanations related to the terms and conditions of this Transaction shall not be considered to be investment advice or a recommendation to enter into the Transaction. No communication (written or oral) received from the other party shall be deemed to be an assurance or guarantee as to the expected results of this Transaction.</w:t>
      </w:r>
    </w:p>
    <w:p>
      <w:pPr>
        <w:pStyle w:val="Normal"/>
        <w:tabs>
          <w:tab w:val="left" w:pos="720" w:leader="none"/>
        </w:tabs>
        <w:ind w:hanging="840" w:start="1680" w:end="180"/>
        <w:jc w:val="both"/>
        <w:rPr>
          <w:rFonts w:ascii="Arial" w:hAnsi="Arial" w:cs="Arial"/>
          <w:sz w:val="20"/>
        </w:rPr>
      </w:pPr>
      <w:r>
        <w:rPr>
          <w:rFonts w:cs="Arial" w:ascii="Arial" w:hAnsi="Arial"/>
          <w:sz w:val="20"/>
        </w:rPr>
      </w:r>
    </w:p>
    <w:p>
      <w:pPr>
        <w:pStyle w:val="Normal"/>
        <w:tabs>
          <w:tab w:val="left" w:pos="720" w:leader="none"/>
        </w:tabs>
        <w:ind w:hanging="698" w:start="1418" w:end="180"/>
        <w:jc w:val="both"/>
        <w:rPr/>
      </w:pPr>
      <w:r>
        <w:rPr>
          <w:rFonts w:cs="Arial" w:ascii="Arial" w:hAnsi="Arial"/>
          <w:color w:val="000000"/>
          <w:sz w:val="20"/>
        </w:rPr>
        <w:t>(ii)</w:t>
      </w:r>
      <w:r>
        <w:rPr>
          <w:rFonts w:cs="Arial" w:ascii="Arial" w:hAnsi="Arial"/>
          <w:b/>
          <w:color w:val="000000"/>
          <w:sz w:val="20"/>
        </w:rPr>
        <w:tab/>
        <w:t xml:space="preserve">Assessment and Understanding.  </w:t>
      </w:r>
      <w:r>
        <w:rPr>
          <w:rFonts w:cs="Arial" w:ascii="Arial" w:hAnsi="Arial"/>
          <w:color w:val="000000"/>
          <w:sz w:val="20"/>
        </w:rPr>
        <w:t>It is capable of assessing the merits of and understanding (on its own behalf or through independent professional advice), and understands and accepts the terms and conditions and risks of this Transaction. It is also capable of assuming, and assumes, the risks of the Transaction.</w:t>
      </w:r>
    </w:p>
    <w:p>
      <w:pPr>
        <w:pStyle w:val="Normal"/>
        <w:tabs>
          <w:tab w:val="left" w:pos="720" w:leader="none"/>
        </w:tabs>
        <w:ind w:hanging="840" w:start="1680" w:end="180"/>
        <w:jc w:val="both"/>
        <w:rPr>
          <w:rFonts w:ascii="Arial" w:hAnsi="Arial" w:cs="Arial"/>
          <w:color w:val="000000"/>
          <w:sz w:val="20"/>
        </w:rPr>
      </w:pPr>
      <w:r>
        <w:rPr>
          <w:rFonts w:cs="Arial" w:ascii="Arial" w:hAnsi="Arial"/>
          <w:color w:val="000000"/>
          <w:sz w:val="20"/>
        </w:rPr>
      </w:r>
    </w:p>
    <w:p>
      <w:pPr>
        <w:pStyle w:val="Normal"/>
        <w:tabs>
          <w:tab w:val="left" w:pos="720" w:leader="none"/>
        </w:tabs>
        <w:ind w:hanging="698" w:start="1418" w:end="180"/>
        <w:jc w:val="both"/>
        <w:rPr/>
      </w:pPr>
      <w:r>
        <w:rPr>
          <w:rFonts w:cs="Arial" w:ascii="Arial" w:hAnsi="Arial"/>
          <w:sz w:val="20"/>
        </w:rPr>
        <w:t>(iii)</w:t>
        <w:tab/>
      </w:r>
      <w:r>
        <w:rPr>
          <w:rFonts w:cs="Arial" w:ascii="Arial" w:hAnsi="Arial"/>
          <w:b/>
          <w:sz w:val="20"/>
        </w:rPr>
        <w:t>Status of Parties</w:t>
      </w:r>
      <w:r>
        <w:rPr>
          <w:rFonts w:cs="Arial" w:ascii="Arial" w:hAnsi="Arial"/>
          <w:sz w:val="20"/>
        </w:rPr>
        <w:t>.  The other party is not acting as a fiduciary for or adviser to it in respect of this Transaction.</w:t>
      </w:r>
    </w:p>
    <w:p>
      <w:pPr>
        <w:pStyle w:val="Normal"/>
        <w:tabs>
          <w:tab w:val="left" w:pos="720" w:leader="none"/>
        </w:tabs>
        <w:ind w:hanging="578" w:start="1418" w:end="180"/>
        <w:jc w:val="both"/>
        <w:rPr>
          <w:rFonts w:ascii="Arial" w:hAnsi="Arial" w:cs="Arial"/>
          <w:sz w:val="20"/>
        </w:rPr>
      </w:pPr>
      <w:r>
        <w:rPr>
          <w:rFonts w:cs="Arial" w:ascii="Arial" w:hAnsi="Arial"/>
          <w:sz w:val="20"/>
        </w:rPr>
      </w:r>
    </w:p>
    <w:p>
      <w:pPr>
        <w:pStyle w:val="Normal"/>
        <w:ind w:hanging="720" w:start="1440" w:end="180"/>
        <w:jc w:val="both"/>
        <w:rPr>
          <w:rFonts w:ascii="Arial" w:hAnsi="Arial" w:cs="Arial"/>
          <w:b/>
          <w:sz w:val="20"/>
        </w:rPr>
      </w:pPr>
      <w:r>
        <w:rPr>
          <w:rFonts w:cs="Arial" w:ascii="Arial" w:hAnsi="Arial"/>
          <w:sz w:val="20"/>
        </w:rPr>
        <w:t xml:space="preserve">(iv)  </w:t>
        <w:tab/>
      </w:r>
      <w:r>
        <w:rPr>
          <w:rFonts w:cs="Arial" w:ascii="Arial" w:hAnsi="Arial"/>
          <w:b/>
          <w:sz w:val="20"/>
        </w:rPr>
        <w:t>U.S. Federal Securities Laws.</w:t>
      </w:r>
      <w:r>
        <w:rPr>
          <w:rFonts w:cs="Arial" w:ascii="Arial" w:hAnsi="Arial"/>
          <w:sz w:val="20"/>
        </w:rPr>
        <w:t xml:space="preserve">    It understands that the offer and sale of the Options constituting a Transaction is intended to be exempt from registration under the US Securities Act of 1933, as amended (the “Securities Act”), by virtue of Section 4(2) thereof.  In furtherance thereof, it represents and warrants that (a) it is experienced in investing in or otherwise entering into options and other financial instruments similar to the Transaction and has determined that the Transaction is suitable investment for it, and (b) it is an institution which qualifies as an “accredited investor” or “qualified institutional buyer” as such terms are defined under relevant regulations promulgated under the Securities Act.</w:t>
      </w:r>
    </w:p>
    <w:p>
      <w:pPr>
        <w:pStyle w:val="Normal"/>
        <w:tabs>
          <w:tab w:val="left" w:pos="720" w:leader="none"/>
        </w:tabs>
        <w:ind w:hanging="3240" w:start="3240" w:end="180"/>
        <w:jc w:val="both"/>
        <w:rPr>
          <w:rFonts w:ascii="Arial" w:hAnsi="Arial" w:cs="Arial"/>
          <w:b/>
          <w:sz w:val="20"/>
        </w:rPr>
      </w:pPr>
      <w:r>
        <w:rPr>
          <w:rFonts w:cs="Arial" w:ascii="Arial" w:hAnsi="Arial"/>
          <w:b/>
          <w:sz w:val="20"/>
        </w:rPr>
      </w:r>
    </w:p>
    <w:p>
      <w:pPr>
        <w:pStyle w:val="Normal"/>
        <w:ind w:hanging="2880" w:start="3600" w:end="180"/>
        <w:jc w:val="both"/>
        <w:rPr>
          <w:rFonts w:ascii="Arial" w:hAnsi="Arial" w:cs="Arial"/>
          <w:sz w:val="20"/>
        </w:rPr>
      </w:pPr>
      <w:r>
        <w:rPr>
          <w:rFonts w:cs="Arial" w:ascii="Arial" w:hAnsi="Arial"/>
          <w:sz w:val="20"/>
        </w:rPr>
        <w:t>(v)  Party B further represents and warrants as of the Trade Date that:</w:t>
      </w:r>
    </w:p>
    <w:p>
      <w:pPr>
        <w:pStyle w:val="Normal"/>
        <w:ind w:hanging="3600" w:start="3600" w:end="180"/>
        <w:jc w:val="both"/>
        <w:rPr>
          <w:rFonts w:ascii="Arial" w:hAnsi="Arial" w:cs="Arial"/>
          <w:sz w:val="20"/>
        </w:rPr>
      </w:pPr>
      <w:r>
        <w:rPr>
          <w:rFonts w:cs="Arial" w:ascii="Arial" w:hAnsi="Arial"/>
          <w:sz w:val="20"/>
        </w:rPr>
      </w:r>
    </w:p>
    <w:p>
      <w:pPr>
        <w:pStyle w:val="Normal"/>
        <w:numPr>
          <w:ilvl w:val="0"/>
          <w:numId w:val="2"/>
        </w:numPr>
        <w:ind w:hanging="360" w:start="1440" w:end="180"/>
        <w:jc w:val="both"/>
        <w:rPr>
          <w:rFonts w:ascii="Arial" w:hAnsi="Arial" w:cs="Arial"/>
          <w:sz w:val="20"/>
        </w:rPr>
      </w:pPr>
      <w:r>
        <w:rPr>
          <w:rFonts w:cs="Arial" w:ascii="Arial" w:hAnsi="Arial"/>
          <w:sz w:val="20"/>
        </w:rPr>
        <w:t>its filings with the Securities and Exchange Commission pursuant to the 1934 Act, as such filings are amended and supplemented to the Trade Date, do not, as of the Trade Date, contain any untrue statement of a material fact or omit to state any material fact necessary to make the statements therein not misleading, and the Issuer acknowledges and agrees that it has not provided Deutsche with any material nonpublic information in connection with this Transaction;</w:t>
      </w:r>
    </w:p>
    <w:p>
      <w:pPr>
        <w:pStyle w:val="Normal"/>
        <w:ind w:hanging="720" w:start="1800" w:end="180"/>
        <w:jc w:val="both"/>
        <w:rPr>
          <w:rFonts w:ascii="Arial" w:hAnsi="Arial" w:cs="Arial"/>
          <w:sz w:val="20"/>
        </w:rPr>
      </w:pPr>
      <w:r>
        <w:rPr>
          <w:rFonts w:cs="Arial" w:ascii="Arial" w:hAnsi="Arial"/>
          <w:sz w:val="20"/>
        </w:rPr>
      </w:r>
    </w:p>
    <w:p>
      <w:pPr>
        <w:pStyle w:val="Normal"/>
        <w:numPr>
          <w:ilvl w:val="0"/>
          <w:numId w:val="2"/>
        </w:numPr>
        <w:ind w:hanging="360" w:start="1440" w:end="180"/>
        <w:jc w:val="both"/>
        <w:rPr>
          <w:rFonts w:ascii="Arial" w:hAnsi="Arial" w:cs="Arial"/>
          <w:sz w:val="20"/>
        </w:rPr>
      </w:pPr>
      <w:r>
        <w:rPr>
          <w:rFonts w:cs="Arial" w:ascii="Arial" w:hAnsi="Arial"/>
          <w:sz w:val="20"/>
        </w:rPr>
        <w:t>this Transaction is consistent with, and has been entered into by it pursuant to, appropriate board resolutions (or its equivalent), which authorize it to engage in a stock repurchase program (which encompasses engaging in over-the-counter option transactions) in respect of the Shares, which stock repurchase program has been publicly announced prior to the Trade Date;</w:t>
      </w:r>
    </w:p>
    <w:p>
      <w:pPr>
        <w:pStyle w:val="Normal"/>
        <w:spacing w:lineRule="atLeast" w:line="240"/>
        <w:ind w:hanging="720" w:start="1800" w:end="180"/>
        <w:jc w:val="both"/>
        <w:rPr>
          <w:rFonts w:ascii="Arial" w:hAnsi="Arial" w:cs="Arial"/>
          <w:sz w:val="20"/>
        </w:rPr>
      </w:pPr>
      <w:r>
        <w:rPr>
          <w:rFonts w:cs="Arial" w:ascii="Arial" w:hAnsi="Arial"/>
          <w:sz w:val="20"/>
        </w:rPr>
      </w:r>
    </w:p>
    <w:p>
      <w:pPr>
        <w:pStyle w:val="Normal"/>
        <w:numPr>
          <w:ilvl w:val="0"/>
          <w:numId w:val="2"/>
        </w:numPr>
        <w:spacing w:lineRule="atLeast" w:line="240"/>
        <w:ind w:hanging="360" w:start="1440" w:end="180"/>
        <w:jc w:val="both"/>
        <w:rPr>
          <w:rFonts w:ascii="Arial" w:hAnsi="Arial" w:cs="Arial"/>
          <w:sz w:val="20"/>
        </w:rPr>
      </w:pPr>
      <w:r>
        <w:rPr>
          <w:rFonts w:cs="Arial" w:ascii="Arial" w:hAnsi="Arial"/>
          <w:sz w:val="20"/>
        </w:rPr>
        <w:t>no event has occurred and is continuing, which would constitute an Extension Event.</w:t>
      </w:r>
    </w:p>
    <w:p>
      <w:pPr>
        <w:pStyle w:val="Normal"/>
        <w:spacing w:lineRule="atLeast" w:line="240"/>
        <w:ind w:end="180"/>
        <w:jc w:val="both"/>
        <w:rPr>
          <w:rFonts w:ascii="Arial" w:hAnsi="Arial" w:cs="Arial"/>
          <w:sz w:val="20"/>
        </w:rPr>
      </w:pPr>
      <w:r>
        <w:rPr>
          <w:rFonts w:cs="Arial" w:ascii="Arial" w:hAnsi="Arial"/>
          <w:sz w:val="20"/>
        </w:rPr>
      </w:r>
    </w:p>
    <w:p>
      <w:pPr>
        <w:pStyle w:val="BodyTextIndent"/>
        <w:widowControl w:val="false"/>
        <w:numPr>
          <w:ilvl w:val="0"/>
          <w:numId w:val="2"/>
        </w:numPr>
        <w:tabs>
          <w:tab w:val="clear" w:pos="900"/>
          <w:tab w:val="left" w:pos="1080" w:leader="none"/>
        </w:tabs>
        <w:spacing w:lineRule="atLeast" w:line="240"/>
        <w:rPr>
          <w:rFonts w:ascii="Arial" w:hAnsi="Arial" w:cs="Arial"/>
          <w:sz w:val="20"/>
        </w:rPr>
      </w:pPr>
      <w:r>
        <w:rPr>
          <w:rFonts w:cs="Arial" w:ascii="Arial" w:hAnsi="Arial"/>
          <w:sz w:val="20"/>
        </w:rPr>
        <w:t>Counterparty does not have any material nonpublic information concerning the Issuer.</w:t>
      </w:r>
    </w:p>
    <w:p>
      <w:pPr>
        <w:pStyle w:val="Normal"/>
        <w:ind w:end="-18"/>
        <w:jc w:val="both"/>
        <w:rPr>
          <w:rFonts w:ascii="Arial" w:hAnsi="Arial" w:cs="Arial"/>
          <w:sz w:val="20"/>
        </w:rPr>
      </w:pPr>
      <w:r>
        <w:rPr>
          <w:rFonts w:cs="Arial" w:ascii="Arial" w:hAnsi="Arial"/>
          <w:sz w:val="20"/>
        </w:rPr>
      </w:r>
    </w:p>
    <w:p>
      <w:pPr>
        <w:pStyle w:val="BodyText"/>
        <w:keepNext w:val="true"/>
        <w:widowControl w:val="false"/>
        <w:tabs>
          <w:tab w:val="clear" w:pos="720"/>
          <w:tab w:val="left" w:pos="360" w:leader="none"/>
        </w:tabs>
        <w:rPr>
          <w:rFonts w:ascii="Arial" w:hAnsi="Arial" w:cs="Arial"/>
          <w:sz w:val="20"/>
        </w:rPr>
      </w:pPr>
      <w:r>
        <w:rPr>
          <w:rFonts w:cs="Arial" w:ascii="Arial" w:hAnsi="Arial"/>
          <w:b/>
          <w:sz w:val="20"/>
        </w:rPr>
        <w:t>6.</w:t>
        <w:tab/>
        <w:t>Account Details:</w:t>
      </w:r>
    </w:p>
    <w:p>
      <w:pPr>
        <w:pStyle w:val="Normal"/>
        <w:ind w:firstLine="720" w:end="0"/>
        <w:jc w:val="both"/>
        <w:rPr>
          <w:rFonts w:ascii="Arial" w:hAnsi="Arial" w:cs="Arial"/>
          <w:sz w:val="20"/>
        </w:rPr>
      </w:pPr>
      <w:r>
        <w:rPr>
          <w:rFonts w:cs="Arial" w:ascii="Arial" w:hAnsi="Arial"/>
          <w:sz w:val="20"/>
        </w:rPr>
        <w:t>Payments to Party A in USD:</w:t>
        <w:tab/>
        <w:t>Bank of New York</w:t>
      </w:r>
    </w:p>
    <w:p>
      <w:pPr>
        <w:pStyle w:val="Normal"/>
        <w:jc w:val="both"/>
        <w:rPr>
          <w:rFonts w:ascii="Arial" w:hAnsi="Arial" w:cs="Arial"/>
          <w:sz w:val="20"/>
        </w:rPr>
      </w:pPr>
      <w:r>
        <w:rPr>
          <w:rFonts w:cs="Arial" w:ascii="Arial" w:hAnsi="Arial"/>
          <w:sz w:val="20"/>
        </w:rPr>
        <w:tab/>
        <w:tab/>
        <w:tab/>
        <w:tab/>
        <w:tab/>
        <w:t>ABA #021-000018</w:t>
      </w:r>
    </w:p>
    <w:p>
      <w:pPr>
        <w:pStyle w:val="Normal"/>
        <w:rPr>
          <w:rFonts w:ascii="Arial" w:hAnsi="Arial" w:cs="Arial"/>
          <w:sz w:val="20"/>
        </w:rPr>
      </w:pPr>
      <w:r>
        <w:rPr>
          <w:rFonts w:cs="Arial" w:ascii="Arial" w:hAnsi="Arial"/>
          <w:sz w:val="20"/>
        </w:rPr>
        <w:tab/>
        <w:tab/>
        <w:tab/>
        <w:tab/>
        <w:tab/>
        <w:t>ACCT. #8900354712</w:t>
      </w:r>
    </w:p>
    <w:p>
      <w:pPr>
        <w:pStyle w:val="BodyTextIndent"/>
        <w:keepNext w:val="true"/>
        <w:widowControl w:val="false"/>
        <w:ind w:hanging="547" w:start="907" w:end="0"/>
        <w:rPr>
          <w:rFonts w:ascii="Arial" w:hAnsi="Arial" w:cs="Arial"/>
          <w:sz w:val="20"/>
        </w:rPr>
      </w:pPr>
      <w:r>
        <w:rPr>
          <w:rFonts w:cs="Arial" w:ascii="Arial" w:hAnsi="Arial"/>
          <w:sz w:val="20"/>
        </w:rPr>
        <w:tab/>
        <w:tab/>
        <w:tab/>
        <w:tab/>
        <w:tab/>
        <w:t>A/C Deutsche Bank Securities Inc.</w:t>
      </w:r>
    </w:p>
    <w:p>
      <w:pPr>
        <w:pStyle w:val="Normal"/>
        <w:ind w:firstLine="720" w:end="0"/>
        <w:rPr>
          <w:rFonts w:ascii="Arial" w:hAnsi="Arial" w:cs="Arial"/>
          <w:sz w:val="20"/>
        </w:rPr>
      </w:pPr>
      <w:r>
        <w:rPr>
          <w:rFonts w:cs="Arial" w:ascii="Arial" w:hAnsi="Arial"/>
          <w:sz w:val="20"/>
        </w:rPr>
        <w:t>Party A’s Delivery Instructions:</w:t>
        <w:tab/>
      </w:r>
    </w:p>
    <w:p>
      <w:pPr>
        <w:pStyle w:val="BodyTextIndent2"/>
        <w:rPr>
          <w:rFonts w:ascii="Arial" w:hAnsi="Arial" w:cs="Arial"/>
          <w:sz w:val="20"/>
        </w:rPr>
      </w:pPr>
      <w:r>
        <w:rPr>
          <w:rFonts w:cs="Arial"/>
          <w:sz w:val="20"/>
        </w:rPr>
      </w:r>
    </w:p>
    <w:p>
      <w:pPr>
        <w:pStyle w:val="BodyTextIndent"/>
        <w:keepNext w:val="true"/>
        <w:widowControl w:val="false"/>
        <w:tabs>
          <w:tab w:val="clear" w:pos="900"/>
          <w:tab w:val="left" w:pos="360" w:leader="none"/>
          <w:tab w:val="left" w:pos="720" w:leader="none"/>
        </w:tabs>
        <w:spacing w:before="240" w:after="240"/>
        <w:ind w:hanging="3326" w:start="3686" w:end="0"/>
        <w:rPr>
          <w:rFonts w:ascii="Arial" w:hAnsi="Arial" w:cs="Arial"/>
          <w:sz w:val="20"/>
        </w:rPr>
      </w:pPr>
      <w:r>
        <w:rPr>
          <w:rFonts w:cs="Arial" w:ascii="Arial" w:hAnsi="Arial"/>
          <w:sz w:val="20"/>
        </w:rPr>
        <w:tab/>
        <w:t>Payments to Party B in USD:</w:t>
        <w:tab/>
        <w:t>[Please provide]</w:t>
      </w:r>
    </w:p>
    <w:p>
      <w:pPr>
        <w:pStyle w:val="Normal"/>
        <w:keepLines/>
        <w:widowControl w:val="false"/>
        <w:tabs>
          <w:tab w:val="left" w:pos="720" w:leader="none"/>
          <w:tab w:val="left" w:pos="3600" w:leader="none"/>
        </w:tabs>
        <w:ind w:hanging="360" w:start="720" w:end="0"/>
        <w:rPr>
          <w:rFonts w:ascii="Arial" w:hAnsi="Arial" w:cs="Arial"/>
          <w:sz w:val="20"/>
        </w:rPr>
      </w:pPr>
      <w:r>
        <w:rPr>
          <w:rFonts w:cs="Arial" w:ascii="Arial" w:hAnsi="Arial"/>
          <w:sz w:val="20"/>
        </w:rPr>
        <w:tab/>
        <w:t>Party B’s Delivery Instructions:</w:t>
        <w:tab/>
        <w:t>[Please provide]</w:t>
      </w:r>
    </w:p>
    <w:p>
      <w:pPr>
        <w:pStyle w:val="Normal"/>
        <w:keepLines/>
        <w:widowControl w:val="false"/>
        <w:rPr>
          <w:rFonts w:ascii="Arial" w:hAnsi="Arial" w:cs="Arial"/>
          <w:b/>
          <w:color w:val="000000"/>
          <w:sz w:val="20"/>
        </w:rPr>
      </w:pPr>
      <w:r>
        <w:rPr>
          <w:rFonts w:cs="Arial" w:ascii="Arial" w:hAnsi="Arial"/>
          <w:b/>
          <w:color w:val="000000"/>
          <w:sz w:val="20"/>
        </w:rPr>
        <w:t>7.</w:t>
        <w:tab/>
        <w:t>Contact Names:</w:t>
      </w:r>
    </w:p>
    <w:p>
      <w:pPr>
        <w:pStyle w:val="Normal"/>
        <w:keepLines/>
        <w:widowControl w:val="false"/>
        <w:rPr>
          <w:rFonts w:ascii="Arial" w:hAnsi="Arial" w:cs="Arial"/>
          <w:b/>
          <w:color w:val="000000"/>
          <w:sz w:val="20"/>
        </w:rPr>
      </w:pPr>
      <w:r>
        <w:rPr>
          <w:rFonts w:cs="Arial" w:ascii="Arial" w:hAnsi="Arial"/>
          <w:b/>
          <w:color w:val="000000"/>
          <w:sz w:val="20"/>
        </w:rPr>
      </w:r>
    </w:p>
    <w:p>
      <w:pPr>
        <w:pStyle w:val="Normal"/>
        <w:ind w:firstLine="720" w:end="0"/>
        <w:jc w:val="both"/>
        <w:rPr>
          <w:rFonts w:ascii="Arial" w:hAnsi="Arial" w:cs="Arial"/>
          <w:sz w:val="20"/>
        </w:rPr>
      </w:pPr>
      <w:r>
        <w:rPr>
          <w:rFonts w:cs="Arial" w:ascii="Arial" w:hAnsi="Arial"/>
          <w:sz w:val="20"/>
        </w:rPr>
        <w:t>Confirmations:</w:t>
        <w:tab/>
        <w:tab/>
        <w:tab/>
      </w:r>
    </w:p>
    <w:p>
      <w:pPr>
        <w:pStyle w:val="Normal"/>
        <w:ind w:firstLine="720" w:end="0"/>
        <w:jc w:val="both"/>
        <w:rPr>
          <w:rFonts w:ascii="Arial" w:hAnsi="Arial" w:cs="Arial"/>
          <w:sz w:val="20"/>
        </w:rPr>
      </w:pPr>
      <w:r>
        <w:rPr>
          <w:rFonts w:cs="Arial" w:ascii="Arial" w:hAnsi="Arial"/>
          <w:sz w:val="20"/>
        </w:rPr>
        <w:t>Telephone:</w:t>
        <w:tab/>
        <w:tab/>
        <w:tab/>
      </w:r>
    </w:p>
    <w:p>
      <w:pPr>
        <w:pStyle w:val="Normal"/>
        <w:ind w:firstLine="720" w:end="0"/>
        <w:jc w:val="both"/>
        <w:rPr>
          <w:rFonts w:ascii="Arial" w:hAnsi="Arial" w:cs="Arial"/>
          <w:sz w:val="20"/>
        </w:rPr>
      </w:pPr>
      <w:r>
        <w:rPr>
          <w:rFonts w:cs="Arial" w:ascii="Arial" w:hAnsi="Arial"/>
          <w:sz w:val="20"/>
        </w:rPr>
        <w:t>Fax No.:</w:t>
        <w:tab/>
        <w:tab/>
        <w:tab/>
      </w:r>
    </w:p>
    <w:p>
      <w:pPr>
        <w:pStyle w:val="Normal"/>
        <w:ind w:firstLine="360" w:end="0"/>
        <w:jc w:val="both"/>
        <w:rPr>
          <w:rFonts w:ascii="Arial" w:hAnsi="Arial" w:cs="Arial"/>
          <w:sz w:val="20"/>
        </w:rPr>
      </w:pPr>
      <w:r>
        <w:rPr>
          <w:rFonts w:cs="Arial" w:ascii="Arial" w:hAnsi="Arial"/>
          <w:sz w:val="20"/>
        </w:rPr>
      </w:r>
    </w:p>
    <w:p>
      <w:pPr>
        <w:pStyle w:val="Normal"/>
        <w:ind w:firstLine="360" w:end="0"/>
        <w:jc w:val="both"/>
        <w:rPr>
          <w:rFonts w:ascii="Arial" w:hAnsi="Arial" w:cs="Arial"/>
          <w:sz w:val="20"/>
        </w:rPr>
      </w:pPr>
      <w:r>
        <w:rPr>
          <w:rFonts w:cs="Arial" w:ascii="Arial" w:hAnsi="Arial"/>
          <w:sz w:val="20"/>
        </w:rPr>
        <w:tab/>
        <w:t>Payments/Fixings:</w:t>
        <w:tab/>
        <w:tab/>
      </w:r>
    </w:p>
    <w:p>
      <w:pPr>
        <w:pStyle w:val="Normal"/>
        <w:ind w:firstLine="360" w:end="0"/>
        <w:jc w:val="both"/>
        <w:rPr>
          <w:rFonts w:ascii="Arial" w:hAnsi="Arial" w:cs="Arial"/>
          <w:sz w:val="20"/>
        </w:rPr>
      </w:pPr>
      <w:r>
        <w:rPr>
          <w:rFonts w:cs="Arial" w:ascii="Arial" w:hAnsi="Arial"/>
          <w:sz w:val="20"/>
        </w:rPr>
        <w:tab/>
        <w:t>Telephone:</w:t>
        <w:tab/>
        <w:tab/>
        <w:tab/>
      </w:r>
    </w:p>
    <w:p>
      <w:pPr>
        <w:pStyle w:val="Normal"/>
        <w:ind w:firstLine="360" w:end="0"/>
        <w:jc w:val="both"/>
        <w:rPr>
          <w:rFonts w:ascii="Arial" w:hAnsi="Arial" w:cs="Arial"/>
          <w:sz w:val="20"/>
        </w:rPr>
      </w:pPr>
      <w:r>
        <w:rPr>
          <w:rFonts w:cs="Arial" w:ascii="Arial" w:hAnsi="Arial"/>
          <w:sz w:val="20"/>
        </w:rPr>
        <w:tab/>
        <w:t>Fax No.:</w:t>
        <w:tab/>
        <w:tab/>
        <w:t>(</w:t>
      </w:r>
    </w:p>
    <w:p>
      <w:pPr>
        <w:pStyle w:val="Normal"/>
        <w:ind w:firstLine="360" w:end="0"/>
        <w:jc w:val="both"/>
        <w:rPr>
          <w:rFonts w:ascii="Arial" w:hAnsi="Arial" w:cs="Arial"/>
          <w:sz w:val="20"/>
        </w:rPr>
      </w:pPr>
      <w:r>
        <w:rPr>
          <w:rFonts w:cs="Arial" w:ascii="Arial" w:hAnsi="Arial"/>
          <w:sz w:val="20"/>
        </w:rPr>
      </w:r>
      <w:r>
        <w:br w:type="page"/>
      </w:r>
    </w:p>
    <w:p>
      <w:pPr>
        <w:pStyle w:val="BodyText2"/>
        <w:rPr/>
      </w:pPr>
      <w:r>
        <w:rPr/>
        <w:t>Each Party has agreed to make payments to the other in accordance with this Confirmation.  Please confirm that the foregoing correctly sets forth the terms of our agreement by sending a return executed acknowledgment hereof to such effect to the contact person named above who is responsible for the administration of this Transaction. The time of execution of this Transaction will be made available by Party A upon written request.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Party A is regulated by The Securities and Futures Authority.</w:t>
      </w:r>
    </w:p>
    <w:p>
      <w:pPr>
        <w:pStyle w:val="Normal"/>
        <w:tabs>
          <w:tab w:val="clear" w:pos="720"/>
          <w:tab w:val="left" w:pos="4320" w:leader="none"/>
        </w:tabs>
        <w:ind w:end="720"/>
        <w:jc w:val="both"/>
        <w:rPr>
          <w:rFonts w:ascii="Arial" w:hAnsi="Arial" w:cs="Arial"/>
          <w:sz w:val="20"/>
        </w:rPr>
      </w:pPr>
      <w:r>
        <w:rPr>
          <w:rFonts w:cs="Arial" w:ascii="Arial" w:hAnsi="Arial"/>
          <w:sz w:val="20"/>
        </w:rPr>
      </w:r>
    </w:p>
    <w:p>
      <w:pPr>
        <w:pStyle w:val="Normal"/>
        <w:tabs>
          <w:tab w:val="clear" w:pos="720"/>
          <w:tab w:val="left" w:pos="4320" w:leader="none"/>
        </w:tabs>
        <w:ind w:end="720"/>
        <w:jc w:val="both"/>
        <w:rPr>
          <w:rFonts w:ascii="Arial" w:hAnsi="Arial" w:cs="Arial"/>
          <w:sz w:val="20"/>
        </w:rPr>
      </w:pPr>
      <w:r>
        <w:rPr>
          <w:rFonts w:cs="Arial" w:ascii="Arial" w:hAnsi="Arial"/>
          <w:sz w:val="20"/>
        </w:rPr>
        <w:t>We are very pleased to have concluded this Transaction with you.</w:t>
      </w:r>
    </w:p>
    <w:p>
      <w:pPr>
        <w:pStyle w:val="Normal"/>
        <w:tabs>
          <w:tab w:val="clear" w:pos="720"/>
          <w:tab w:val="left" w:pos="4320" w:leader="none"/>
        </w:tabs>
        <w:ind w:end="720"/>
        <w:jc w:val="both"/>
        <w:rPr>
          <w:rFonts w:ascii="Arial" w:hAnsi="Arial" w:cs="Arial"/>
          <w:sz w:val="20"/>
        </w:rPr>
      </w:pPr>
      <w:r>
        <w:rPr>
          <w:rFonts w:cs="Arial" w:ascii="Arial" w:hAnsi="Arial"/>
          <w:sz w:val="20"/>
        </w:rPr>
      </w:r>
    </w:p>
    <w:p>
      <w:pPr>
        <w:pStyle w:val="Normal"/>
        <w:tabs>
          <w:tab w:val="clear" w:pos="720"/>
          <w:tab w:val="left" w:pos="4320" w:leader="none"/>
        </w:tabs>
        <w:ind w:end="720"/>
        <w:jc w:val="both"/>
        <w:rPr>
          <w:rFonts w:ascii="Arial" w:hAnsi="Arial" w:cs="Arial"/>
          <w:sz w:val="20"/>
        </w:rPr>
      </w:pPr>
      <w:r>
        <w:rPr>
          <w:rFonts w:cs="Arial" w:ascii="Arial" w:hAnsi="Arial"/>
          <w:sz w:val="20"/>
        </w:rPr>
        <w:t>Regards,</w:t>
      </w:r>
    </w:p>
    <w:p>
      <w:pPr>
        <w:pStyle w:val="Normal"/>
        <w:tabs>
          <w:tab w:val="clear" w:pos="720"/>
          <w:tab w:val="left" w:pos="5040" w:leader="none"/>
        </w:tabs>
        <w:ind w:end="720"/>
        <w:jc w:val="both"/>
        <w:rPr>
          <w:rFonts w:ascii="Arial" w:hAnsi="Arial" w:cs="Arial"/>
          <w:b/>
          <w:sz w:val="20"/>
        </w:rPr>
      </w:pPr>
      <w:r>
        <w:rPr>
          <w:rFonts w:cs="Arial" w:ascii="Arial" w:hAnsi="Arial"/>
          <w:b/>
          <w:sz w:val="20"/>
        </w:rPr>
        <w:tab/>
      </w:r>
    </w:p>
    <w:p>
      <w:pPr>
        <w:pStyle w:val="Normal"/>
        <w:tabs>
          <w:tab w:val="clear" w:pos="720"/>
          <w:tab w:val="left" w:pos="540" w:leader="none"/>
          <w:tab w:val="left" w:pos="5040" w:leader="none"/>
        </w:tabs>
        <w:spacing w:before="20" w:after="0"/>
        <w:rPr>
          <w:rFonts w:ascii="Arial" w:hAnsi="Arial" w:cs="Arial"/>
          <w:b/>
          <w:caps/>
          <w:sz w:val="20"/>
        </w:rPr>
      </w:pPr>
      <w:r>
        <w:rPr>
          <w:rFonts w:cs="Arial" w:ascii="Arial" w:hAnsi="Arial"/>
          <w:b/>
          <w:caps/>
          <w:sz w:val="20"/>
        </w:rPr>
        <w:t>Deutsche Bank AG, London Branch</w:t>
        <w:tab/>
      </w:r>
      <w:r>
        <w:rPr>
          <w:rFonts w:cs="Arial" w:ascii="Arial" w:hAnsi="Arial"/>
          <w:sz w:val="20"/>
        </w:rPr>
        <w:t>REVIEWED BY:</w:t>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ab/>
      </w:r>
    </w:p>
    <w:p>
      <w:pPr>
        <w:pStyle w:val="Normal"/>
        <w:tabs>
          <w:tab w:val="left" w:pos="720" w:leader="none"/>
          <w:tab w:val="left" w:pos="4320" w:leader="none"/>
          <w:tab w:val="left" w:pos="5760" w:leader="none"/>
        </w:tabs>
        <w:ind w:end="720"/>
        <w:jc w:val="both"/>
        <w:rPr>
          <w:rFonts w:ascii="Arial" w:hAnsi="Arial" w:cs="Arial"/>
          <w:sz w:val="20"/>
        </w:rPr>
      </w:pPr>
      <w:r>
        <w:rPr>
          <w:rFonts w:cs="Arial" w:ascii="Arial" w:hAnsi="Arial"/>
          <w:sz w:val="20"/>
        </w:rPr>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By: ______________________________</w:t>
        <w:tab/>
        <w:t>By: ___________________________</w:t>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Name:</w:t>
        <w:tab/>
        <w:t>James S. Rowen</w:t>
        <w:tab/>
        <w:tab/>
        <w:t>Roger Ehrenberg</w:t>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 xml:space="preserve">Title:     </w:t>
        <w:tab/>
        <w:t>Attorney-in-Fact</w:t>
        <w:tab/>
        <w:tab/>
        <w:tab/>
        <w:tab/>
        <w:t xml:space="preserve"> </w:t>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By:_______________________________</w:t>
        <w:tab/>
        <w:t>By: ___________________________</w:t>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Name:</w:t>
        <w:tab/>
        <w:t>D. Olivia Stennett</w:t>
        <w:tab/>
        <w:tab/>
        <w:t>Maria Varvatsoulis</w:t>
      </w:r>
    </w:p>
    <w:p>
      <w:pPr>
        <w:pStyle w:val="Normal"/>
        <w:tabs>
          <w:tab w:val="left" w:pos="720" w:leader="none"/>
          <w:tab w:val="left" w:pos="5760" w:leader="none"/>
        </w:tabs>
        <w:ind w:end="720"/>
        <w:jc w:val="both"/>
        <w:rPr>
          <w:rFonts w:ascii="Arial" w:hAnsi="Arial" w:cs="Arial"/>
          <w:sz w:val="20"/>
        </w:rPr>
      </w:pPr>
      <w:r>
        <w:rPr>
          <w:rFonts w:cs="Arial" w:ascii="Arial" w:hAnsi="Arial"/>
          <w:sz w:val="20"/>
        </w:rPr>
        <w:t>Title:</w:t>
        <w:tab/>
        <w:t>Attorney-in-Fact</w:t>
        <w:tab/>
        <w:tab/>
        <w:tab/>
        <w:tab/>
      </w:r>
    </w:p>
    <w:p>
      <w:pPr>
        <w:pStyle w:val="Normal"/>
        <w:tabs>
          <w:tab w:val="left" w:pos="720" w:leader="none"/>
          <w:tab w:val="left" w:pos="5040" w:leader="none"/>
          <w:tab w:val="left" w:pos="5760" w:leader="none"/>
        </w:tabs>
        <w:ind w:end="720"/>
        <w:jc w:val="both"/>
        <w:rPr>
          <w:rFonts w:ascii="Arial" w:hAnsi="Arial" w:eastAsia="Arial" w:cs="Arial"/>
          <w:sz w:val="20"/>
        </w:rPr>
      </w:pPr>
      <w:r>
        <w:rPr>
          <w:rFonts w:eastAsia="Arial" w:cs="Arial" w:ascii="Arial" w:hAnsi="Arial"/>
          <w:sz w:val="20"/>
        </w:rPr>
        <w:t xml:space="preserve">      </w:t>
      </w:r>
    </w:p>
    <w:p>
      <w:pPr>
        <w:pStyle w:val="Normal"/>
        <w:tabs>
          <w:tab w:val="clear" w:pos="720"/>
          <w:tab w:val="left" w:pos="4320" w:leader="none"/>
        </w:tabs>
        <w:ind w:end="720"/>
        <w:jc w:val="both"/>
        <w:rPr>
          <w:rFonts w:ascii="Arial" w:hAnsi="Arial" w:cs="Arial"/>
          <w:b/>
          <w:sz w:val="20"/>
        </w:rPr>
      </w:pPr>
      <w:r>
        <w:rPr>
          <w:rFonts w:cs="Arial" w:ascii="Arial" w:hAnsi="Arial"/>
          <w:b/>
          <w:sz w:val="20"/>
        </w:rPr>
        <w:tab/>
        <w:tab/>
      </w:r>
      <w:r>
        <w:rPr>
          <w:rFonts w:cs="Arial" w:ascii="Arial" w:hAnsi="Arial"/>
          <w:sz w:val="20"/>
        </w:rPr>
        <w:tab/>
        <w:tab/>
        <w:tab/>
      </w:r>
    </w:p>
    <w:p>
      <w:pPr>
        <w:pStyle w:val="Normal"/>
        <w:tabs>
          <w:tab w:val="clear" w:pos="720"/>
          <w:tab w:val="left" w:pos="4320" w:leader="none"/>
        </w:tabs>
        <w:ind w:end="720"/>
        <w:jc w:val="both"/>
        <w:rPr>
          <w:rFonts w:ascii="Arial" w:hAnsi="Arial" w:cs="Arial"/>
          <w:b/>
          <w:sz w:val="20"/>
        </w:rPr>
      </w:pPr>
      <w:r>
        <w:rPr>
          <w:rFonts w:cs="Arial" w:ascii="Arial" w:hAnsi="Arial"/>
          <w:b/>
          <w:sz w:val="20"/>
        </w:rPr>
        <w:t>DEUTSCHE BANK SECURITIES INC.</w:t>
        <w:tab/>
        <w:tab/>
      </w:r>
    </w:p>
    <w:p>
      <w:pPr>
        <w:pStyle w:val="Normal"/>
        <w:tabs>
          <w:tab w:val="clear" w:pos="720"/>
          <w:tab w:val="left" w:pos="4320" w:leader="none"/>
        </w:tabs>
        <w:ind w:end="720"/>
        <w:jc w:val="both"/>
        <w:rPr>
          <w:rFonts w:ascii="Arial" w:hAnsi="Arial" w:cs="Arial"/>
          <w:sz w:val="20"/>
        </w:rPr>
      </w:pPr>
      <w:r>
        <w:rPr>
          <w:rFonts w:cs="Arial" w:ascii="Arial" w:hAnsi="Arial"/>
          <w:sz w:val="20"/>
        </w:rPr>
        <w:t>acting solely as Agent in connection with the Transaction</w:t>
      </w:r>
    </w:p>
    <w:p>
      <w:pPr>
        <w:pStyle w:val="Normal"/>
        <w:tabs>
          <w:tab w:val="clear" w:pos="720"/>
          <w:tab w:val="left" w:pos="4320" w:leader="none"/>
        </w:tabs>
        <w:ind w:end="720"/>
        <w:jc w:val="both"/>
        <w:rPr>
          <w:rFonts w:ascii="Arial" w:hAnsi="Arial" w:cs="Arial"/>
          <w:sz w:val="20"/>
        </w:rPr>
      </w:pPr>
      <w:r>
        <w:rPr>
          <w:rFonts w:cs="Arial" w:ascii="Arial" w:hAnsi="Arial"/>
          <w:sz w:val="20"/>
        </w:rPr>
      </w:r>
    </w:p>
    <w:p>
      <w:pPr>
        <w:pStyle w:val="Normal"/>
        <w:tabs>
          <w:tab w:val="clear" w:pos="720"/>
          <w:tab w:val="left" w:pos="4320" w:leader="none"/>
        </w:tabs>
        <w:ind w:end="720"/>
        <w:jc w:val="both"/>
        <w:rPr>
          <w:rFonts w:ascii="Arial" w:hAnsi="Arial" w:cs="Arial"/>
          <w:sz w:val="20"/>
        </w:rPr>
      </w:pPr>
      <w:r>
        <w:rPr>
          <w:rFonts w:cs="Arial" w:ascii="Arial" w:hAnsi="Arial"/>
          <w:sz w:val="20"/>
        </w:rPr>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By:_______________________________</w:t>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Name:</w:t>
        <w:tab/>
        <w:t>James S. Rowen</w:t>
      </w:r>
    </w:p>
    <w:p>
      <w:pPr>
        <w:pStyle w:val="Normal"/>
        <w:tabs>
          <w:tab w:val="left" w:pos="720" w:leader="none"/>
          <w:tab w:val="left" w:pos="4320" w:leader="none"/>
        </w:tabs>
        <w:ind w:end="720"/>
        <w:jc w:val="both"/>
        <w:rPr>
          <w:rFonts w:ascii="Arial" w:hAnsi="Arial" w:cs="Arial"/>
          <w:sz w:val="20"/>
        </w:rPr>
      </w:pPr>
      <w:r>
        <w:rPr>
          <w:rFonts w:cs="Arial" w:ascii="Arial" w:hAnsi="Arial"/>
          <w:sz w:val="20"/>
        </w:rPr>
        <w:t>Title:</w:t>
        <w:tab/>
        <w:t>Managing Director</w:t>
      </w:r>
    </w:p>
    <w:p>
      <w:pPr>
        <w:pStyle w:val="Normal"/>
        <w:tabs>
          <w:tab w:val="left" w:pos="720" w:leader="none"/>
          <w:tab w:val="left" w:pos="4320" w:leader="none"/>
        </w:tabs>
        <w:ind w:end="720"/>
        <w:jc w:val="both"/>
        <w:rPr>
          <w:rFonts w:ascii="Arial" w:hAnsi="Arial" w:cs="Arial"/>
          <w:sz w:val="20"/>
        </w:rPr>
      </w:pPr>
      <w:r>
        <w:rPr>
          <w:rFonts w:cs="Arial" w:ascii="Arial" w:hAnsi="Arial"/>
          <w:sz w:val="20"/>
        </w:rPr>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By:_______________________________</w:t>
      </w:r>
    </w:p>
    <w:p>
      <w:pPr>
        <w:pStyle w:val="Normal"/>
        <w:tabs>
          <w:tab w:val="left" w:pos="720" w:leader="none"/>
          <w:tab w:val="left" w:pos="5040" w:leader="none"/>
          <w:tab w:val="left" w:pos="5760" w:leader="none"/>
        </w:tabs>
        <w:ind w:end="720"/>
        <w:jc w:val="both"/>
        <w:rPr>
          <w:rFonts w:ascii="Arial" w:hAnsi="Arial" w:cs="Arial"/>
          <w:sz w:val="20"/>
        </w:rPr>
      </w:pPr>
      <w:r>
        <w:rPr>
          <w:rFonts w:cs="Arial" w:ascii="Arial" w:hAnsi="Arial"/>
          <w:sz w:val="20"/>
        </w:rPr>
        <w:t>Name:</w:t>
        <w:tab/>
        <w:t>D. Olivia Stennett</w:t>
      </w:r>
    </w:p>
    <w:p>
      <w:pPr>
        <w:pStyle w:val="Normal"/>
        <w:tabs>
          <w:tab w:val="left" w:pos="720" w:leader="none"/>
          <w:tab w:val="left" w:pos="4320" w:leader="none"/>
        </w:tabs>
        <w:ind w:end="720"/>
        <w:jc w:val="both"/>
        <w:rPr>
          <w:rFonts w:ascii="Arial" w:hAnsi="Arial" w:cs="Arial"/>
          <w:sz w:val="20"/>
        </w:rPr>
      </w:pPr>
      <w:r>
        <w:rPr>
          <w:rFonts w:cs="Arial" w:ascii="Arial" w:hAnsi="Arial"/>
          <w:sz w:val="20"/>
        </w:rPr>
        <w:t>Title:</w:t>
        <w:tab/>
        <w:t>Vice President</w:t>
      </w:r>
    </w:p>
    <w:p>
      <w:pPr>
        <w:pStyle w:val="Normal"/>
        <w:tabs>
          <w:tab w:val="clear" w:pos="720"/>
          <w:tab w:val="left" w:pos="4320" w:leader="none"/>
        </w:tabs>
        <w:ind w:end="720"/>
        <w:jc w:val="both"/>
        <w:rPr>
          <w:rFonts w:ascii="Arial" w:hAnsi="Arial" w:cs="Arial"/>
          <w:sz w:val="20"/>
        </w:rPr>
      </w:pPr>
      <w:r>
        <w:rPr>
          <w:rFonts w:cs="Arial" w:ascii="Arial" w:hAnsi="Arial"/>
          <w:sz w:val="20"/>
        </w:rPr>
      </w:r>
    </w:p>
    <w:p>
      <w:pPr>
        <w:pStyle w:val="Normal"/>
        <w:tabs>
          <w:tab w:val="clear" w:pos="720"/>
          <w:tab w:val="left" w:pos="4320" w:leader="none"/>
        </w:tabs>
        <w:ind w:end="720"/>
        <w:jc w:val="both"/>
        <w:rPr>
          <w:rFonts w:ascii="Arial" w:hAnsi="Arial" w:cs="Arial"/>
          <w:sz w:val="20"/>
        </w:rPr>
      </w:pPr>
      <w:r>
        <w:rPr>
          <w:rFonts w:cs="Arial" w:ascii="Arial" w:hAnsi="Arial"/>
          <w:sz w:val="20"/>
        </w:rPr>
        <w:t>Confirmed and acknowledged as of the date first above written:</w:t>
      </w:r>
    </w:p>
    <w:p>
      <w:pPr>
        <w:pStyle w:val="Normal"/>
        <w:tabs>
          <w:tab w:val="clear" w:pos="720"/>
          <w:tab w:val="left" w:pos="4320" w:leader="none"/>
        </w:tabs>
        <w:ind w:end="720"/>
        <w:jc w:val="both"/>
        <w:rPr>
          <w:rFonts w:ascii="Arial" w:hAnsi="Arial" w:cs="Arial"/>
          <w:sz w:val="20"/>
        </w:rPr>
      </w:pPr>
      <w:r>
        <w:rPr>
          <w:rFonts w:cs="Arial" w:ascii="Arial" w:hAnsi="Arial"/>
          <w:sz w:val="20"/>
        </w:rPr>
      </w:r>
    </w:p>
    <w:p>
      <w:pPr>
        <w:pStyle w:val="Normal"/>
        <w:tabs>
          <w:tab w:val="clear" w:pos="720"/>
          <w:tab w:val="left" w:pos="4320" w:leader="none"/>
        </w:tabs>
        <w:ind w:end="720"/>
        <w:jc w:val="both"/>
        <w:rPr>
          <w:rFonts w:ascii="Arial" w:hAnsi="Arial" w:cs="Arial"/>
          <w:b/>
          <w:sz w:val="20"/>
        </w:rPr>
      </w:pPr>
      <w:r>
        <w:rPr>
          <w:rFonts w:cs="Arial" w:ascii="Arial" w:hAnsi="Arial"/>
          <w:b/>
          <w:sz w:val="20"/>
        </w:rPr>
        <w:t>[COUNTERPARTY]</w:t>
      </w:r>
    </w:p>
    <w:p>
      <w:pPr>
        <w:pStyle w:val="Normal"/>
        <w:tabs>
          <w:tab w:val="clear" w:pos="720"/>
          <w:tab w:val="left" w:pos="4320" w:leader="none"/>
        </w:tabs>
        <w:ind w:end="720"/>
        <w:jc w:val="both"/>
        <w:rPr>
          <w:rFonts w:ascii="Arial" w:hAnsi="Arial" w:cs="Arial"/>
          <w:b/>
          <w:sz w:val="20"/>
        </w:rPr>
      </w:pPr>
      <w:r>
        <w:rPr>
          <w:rFonts w:cs="Arial" w:ascii="Arial" w:hAnsi="Arial"/>
          <w:b/>
          <w:sz w:val="20"/>
        </w:rPr>
      </w:r>
    </w:p>
    <w:p>
      <w:pPr>
        <w:pStyle w:val="Normal"/>
        <w:tabs>
          <w:tab w:val="clear" w:pos="720"/>
          <w:tab w:val="left" w:pos="4320" w:leader="none"/>
        </w:tabs>
        <w:ind w:end="720"/>
        <w:jc w:val="both"/>
        <w:rPr>
          <w:rFonts w:ascii="Arial" w:hAnsi="Arial" w:cs="Arial"/>
          <w:b/>
          <w:sz w:val="20"/>
        </w:rPr>
      </w:pPr>
      <w:r>
        <w:rPr>
          <w:rFonts w:cs="Arial" w:ascii="Arial" w:hAnsi="Arial"/>
          <w:b/>
          <w:sz w:val="20"/>
        </w:rPr>
      </w:r>
    </w:p>
    <w:p>
      <w:pPr>
        <w:pStyle w:val="Normal"/>
        <w:tabs>
          <w:tab w:val="clear" w:pos="720"/>
          <w:tab w:val="left" w:pos="4320" w:leader="none"/>
        </w:tabs>
        <w:ind w:end="720"/>
        <w:jc w:val="both"/>
        <w:rPr>
          <w:rFonts w:ascii="Arial" w:hAnsi="Arial" w:cs="Arial"/>
          <w:sz w:val="20"/>
        </w:rPr>
      </w:pPr>
      <w:r>
        <w:rPr>
          <w:rFonts w:cs="Arial" w:ascii="Arial" w:hAnsi="Arial"/>
          <w:sz w:val="20"/>
        </w:rPr>
        <w:t>By:________________________________</w:t>
      </w:r>
    </w:p>
    <w:p>
      <w:pPr>
        <w:pStyle w:val="Normal"/>
        <w:tabs>
          <w:tab w:val="clear" w:pos="720"/>
          <w:tab w:val="left" w:pos="4320" w:leader="none"/>
        </w:tabs>
        <w:ind w:end="720"/>
        <w:jc w:val="both"/>
        <w:rPr>
          <w:rFonts w:ascii="Arial" w:hAnsi="Arial" w:cs="Arial"/>
          <w:sz w:val="20"/>
        </w:rPr>
      </w:pPr>
      <w:r>
        <w:rPr>
          <w:rFonts w:cs="Arial" w:ascii="Arial" w:hAnsi="Arial"/>
          <w:sz w:val="20"/>
        </w:rPr>
        <w:t>Authorized Signatory</w:t>
      </w:r>
    </w:p>
    <w:p>
      <w:pPr>
        <w:pStyle w:val="Normal"/>
        <w:tabs>
          <w:tab w:val="clear" w:pos="720"/>
          <w:tab w:val="left" w:pos="4320" w:leader="none"/>
        </w:tabs>
        <w:ind w:end="720"/>
        <w:jc w:val="both"/>
        <w:rPr>
          <w:rFonts w:ascii="Arial" w:hAnsi="Arial" w:cs="Arial"/>
          <w:sz w:val="20"/>
        </w:rPr>
      </w:pPr>
      <w:r>
        <w:rPr>
          <w:rFonts w:cs="Arial" w:ascii="Arial" w:hAnsi="Arial"/>
          <w:sz w:val="20"/>
        </w:rPr>
        <w:t>Name:</w:t>
      </w:r>
    </w:p>
    <w:p>
      <w:pPr>
        <w:pStyle w:val="Normal"/>
        <w:tabs>
          <w:tab w:val="clear" w:pos="720"/>
          <w:tab w:val="left" w:pos="4320" w:leader="none"/>
        </w:tabs>
        <w:ind w:end="720"/>
        <w:jc w:val="both"/>
        <w:rPr>
          <w:rFonts w:ascii="Arial" w:hAnsi="Arial" w:cs="Arial"/>
          <w:sz w:val="20"/>
        </w:rPr>
      </w:pPr>
      <w:r>
        <w:rPr>
          <w:rFonts w:cs="Arial" w:ascii="Arial" w:hAnsi="Arial"/>
          <w:sz w:val="20"/>
        </w:rPr>
        <w:t>Title:</w:t>
      </w:r>
    </w:p>
    <w:p>
      <w:pPr>
        <w:pStyle w:val="Normal"/>
        <w:tabs>
          <w:tab w:val="clear" w:pos="720"/>
          <w:tab w:val="left" w:pos="540" w:leader="none"/>
          <w:tab w:val="left" w:pos="5040" w:leader="none"/>
        </w:tabs>
        <w:spacing w:before="20" w:after="0"/>
        <w:rPr>
          <w:rFonts w:ascii="Arial" w:hAnsi="Arial" w:cs="Arial"/>
          <w:sz w:val="20"/>
        </w:rPr>
      </w:pPr>
      <w:r>
        <w:rPr>
          <w:rFonts w:cs="Arial" w:ascii="Arial" w:hAnsi="Arial"/>
          <w:sz w:val="20"/>
        </w:rPr>
      </w:r>
    </w:p>
    <w:p>
      <w:pPr>
        <w:pStyle w:val="BodyText"/>
        <w:widowControl w:val="false"/>
        <w:spacing w:before="0" w:after="240"/>
        <w:rPr>
          <w:rFonts w:ascii="Arial" w:hAnsi="Arial" w:cs="Arial"/>
          <w:sz w:val="20"/>
        </w:rPr>
      </w:pPr>
      <w:r>
        <w:rPr>
          <w:rFonts w:cs="Arial" w:ascii="Arial" w:hAnsi="Arial"/>
          <w:sz w:val="20"/>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720" w:leader="none"/>
      </w:tabs>
      <w:rPr>
        <w:rStyle w:val="PageNumber"/>
        <w:sz w:val="16"/>
      </w:rPr>
    </w:pPr>
    <w:r>
      <w:rPr/>
    </w:r>
  </w:p>
  <w:p>
    <w:pPr>
      <w:pStyle w:val="Footer"/>
      <w:tabs>
        <w:tab w:val="clear" w:pos="4320"/>
        <w:tab w:val="clear" w:pos="8640"/>
        <w:tab w:val="center" w:pos="4680" w:leader="none"/>
        <w:tab w:val="right" w:pos="9720" w:leader="none"/>
      </w:tabs>
      <w:rPr>
        <w:sz w:val="16"/>
      </w:rPr>
    </w:pPr>
    <w:r>
      <w:rPr>
        <w:rStyle w:val="PageNumbe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16</w:t>
    </w:r>
    <w:r>
      <w:rPr>
        <w:rStyle w:val="PageNumber"/>
        <w:sz w:val="16"/>
      </w:rPr>
      <w:fldChar w:fldCharType="end"/>
    </w:r>
    <w:r>
      <w:rPr>
        <w:rStyle w:val="PageNumber"/>
        <w:sz w:val="16"/>
      </w:rPr>
      <w:tab/>
    </w:r>
  </w:p>
  <w:p>
    <w:pPr>
      <w:pStyle w:val="Footer"/>
      <w:jc w:val="center"/>
      <w:rPr>
        <w:rStyle w:val="PageNumbe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720" w:leader="none"/>
      </w:tabs>
      <w:rPr>
        <w:rStyle w:val="PageNumber"/>
        <w:sz w:val="16"/>
      </w:rPr>
    </w:pPr>
    <w:r>
      <w:rPr/>
    </w:r>
  </w:p>
  <w:p>
    <w:pPr>
      <w:pStyle w:val="Footer"/>
      <w:tabs>
        <w:tab w:val="clear" w:pos="4320"/>
        <w:tab w:val="clear" w:pos="8640"/>
        <w:tab w:val="center" w:pos="4680" w:leader="none"/>
        <w:tab w:val="right" w:pos="9720" w:leader="none"/>
      </w:tabs>
      <w:rPr>
        <w:sz w:val="16"/>
      </w:rPr>
    </w:pPr>
    <w:r>
      <w:rPr>
        <w:rStyle w:val="PageNumbe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r>
      <w:rPr>
        <w:rStyle w:val="PageNumber"/>
        <w:sz w:val="16"/>
      </w:rPr>
      <w:tab/>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u w:val="single"/>
      </w:rPr>
      <w:t>DRAFT July 21, 2000 – subject to change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u w:val="single"/>
      </w:rPr>
      <w:t>DRAFT July 21, 2000 – subject to change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360"/>
        </w:tabs>
        <w:ind w:start="0" w:hanging="0"/>
      </w:pPr>
    </w:lvl>
    <w:lvl w:ilvl="2">
      <w:start w:val="1"/>
      <w:pStyle w:val="Heading3"/>
      <w:numFmt w:val="decimal"/>
      <w:lvlText w:val="%3."/>
      <w:lvlJc w:val="start"/>
      <w:pPr>
        <w:tabs>
          <w:tab w:val="num" w:pos="360"/>
        </w:tabs>
        <w:ind w:start="0" w:hanging="0"/>
      </w:pPr>
    </w:lvl>
    <w:lvl w:ilvl="3">
      <w:start w:val="1"/>
      <w:pStyle w:val="Heading4"/>
      <w:numFmt w:val="lowerLetter"/>
      <w:lvlText w:val="%4."/>
      <w:lvlJc w:val="start"/>
      <w:pPr>
        <w:tabs>
          <w:tab w:val="num" w:pos="360"/>
        </w:tabs>
        <w:ind w:start="0" w:hanging="0"/>
      </w:pPr>
    </w:lvl>
    <w:lvl w:ilvl="4">
      <w:start w:val="1"/>
      <w:pStyle w:val="Heading5"/>
      <w:numFmt w:val="decimal"/>
      <w:lvlText w:val="(%5)"/>
      <w:lvlJc w:val="start"/>
      <w:pPr>
        <w:tabs>
          <w:tab w:val="num" w:pos="432"/>
        </w:tabs>
        <w:ind w:start="0" w:hanging="0"/>
      </w:pPr>
    </w:lvl>
    <w:lvl w:ilvl="5">
      <w:start w:val="1"/>
      <w:pStyle w:val="Heading6"/>
      <w:numFmt w:val="lowerLetter"/>
      <w:lvlText w:val="(%6)"/>
      <w:lvlJc w:val="start"/>
      <w:pPr>
        <w:tabs>
          <w:tab w:val="num" w:pos="432"/>
        </w:tabs>
        <w:ind w:start="0" w:hanging="0"/>
      </w:pPr>
    </w:lvl>
    <w:lvl w:ilvl="6">
      <w:start w:val="1"/>
      <w:pStyle w:val="Heading7"/>
      <w:numFmt w:val="lowerRoman"/>
      <w:lvlText w:val="(%7)"/>
      <w:lvlJc w:val="start"/>
      <w:pPr>
        <w:tabs>
          <w:tab w:val="num" w:pos="432"/>
        </w:tabs>
        <w:ind w:start="0" w:hanging="0"/>
      </w:pPr>
    </w:lvl>
    <w:lvl w:ilvl="7">
      <w:start w:val="1"/>
      <w:pStyle w:val="Heading8"/>
      <w:numFmt w:val="lowerLetter"/>
      <w:lvlText w:val="%8)"/>
      <w:lvlJc w:val="start"/>
      <w:pPr>
        <w:tabs>
          <w:tab w:val="num" w:pos="432"/>
        </w:tabs>
        <w:ind w:start="0" w:hanging="0"/>
      </w:pPr>
    </w:lvl>
    <w:lvl w:ilvl="8">
      <w:start w:val="1"/>
      <w:pStyle w:val="Heading9"/>
      <w:numFmt w:val="lowerRoman"/>
      <w:lvlText w:val="%9)"/>
      <w:lvlJc w:val="start"/>
      <w:pPr>
        <w:tabs>
          <w:tab w:val="num" w:pos="432"/>
        </w:tabs>
        <w:ind w:start="0" w:hanging="0"/>
      </w:pPr>
    </w:lvl>
  </w:abstractNum>
  <w:abstractNum w:abstractNumId="2">
    <w:lvl w:ilvl="0">
      <w:start w:val="1"/>
      <w:numFmt w:val="lowerLetter"/>
      <w:lvlText w:val="(%1)"/>
      <w:lvlJc w:val="start"/>
      <w:pPr>
        <w:tabs>
          <w:tab w:val="num" w:pos="1440"/>
        </w:tabs>
        <w:ind w:start="1440" w:hanging="360"/>
      </w:pPr>
      <w:rPr/>
    </w:lvl>
  </w:abstractNum>
  <w:abstractNum w:abstractNumId="3">
    <w:lvl w:ilvl="0">
      <w:start w:val="1"/>
      <w:numFmt w:val="lowerRoman"/>
      <w:lvlText w:val="(%1)"/>
      <w:lvlJc w:val="end"/>
      <w:pPr>
        <w:tabs>
          <w:tab w:val="num" w:pos="432"/>
        </w:tabs>
        <w:ind w:start="432" w:hanging="432"/>
      </w:pPr>
    </w:lvl>
  </w:abstractNum>
  <w:abstractNum w:abstractNumId="4">
    <w:lvl w:ilvl="0">
      <w:start w:val="1"/>
      <w:numFmt w:val="lowerRoman"/>
      <w:lvlText w:val="(%1)"/>
      <w:lvlJc w:val="start"/>
      <w:pPr>
        <w:tabs>
          <w:tab w:val="num" w:pos="576"/>
        </w:tabs>
        <w:ind w:start="576" w:hanging="576"/>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MarkCheckBox" w:val="TRUE"/>
    <w:docVar w:name="PCDocsFooter" w:val="No"/>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ind w:hanging="360" w:start="360" w:end="0"/>
      <w:outlineLvl w:val="0"/>
    </w:pPr>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BodyText"/>
    <w:qFormat/>
    <w:pPr>
      <w:numPr>
        <w:ilvl w:val="2"/>
        <w:numId w:val="1"/>
      </w:numPr>
      <w:spacing w:before="0" w:after="240"/>
      <w:ind w:firstLine="720" w:start="1440" w:end="0"/>
      <w:outlineLvl w:val="2"/>
    </w:pPr>
    <w:rPr/>
  </w:style>
  <w:style w:type="paragraph" w:styleId="Heading4">
    <w:name w:val="heading 4"/>
    <w:basedOn w:val="Normal"/>
    <w:next w:val="BodyText"/>
    <w:qFormat/>
    <w:pPr>
      <w:numPr>
        <w:ilvl w:val="3"/>
        <w:numId w:val="1"/>
      </w:numPr>
      <w:spacing w:before="0" w:after="240"/>
      <w:ind w:firstLine="720" w:start="2160" w:end="0"/>
      <w:outlineLvl w:val="3"/>
    </w:pPr>
    <w:rPr/>
  </w:style>
  <w:style w:type="paragraph" w:styleId="Heading5">
    <w:name w:val="heading 5"/>
    <w:basedOn w:val="Normal"/>
    <w:next w:val="BodyText"/>
    <w:qFormat/>
    <w:pPr>
      <w:numPr>
        <w:ilvl w:val="4"/>
        <w:numId w:val="1"/>
      </w:numPr>
      <w:spacing w:before="0" w:after="240"/>
      <w:ind w:firstLine="720" w:start="2880" w:end="0"/>
      <w:outlineLvl w:val="4"/>
    </w:pPr>
    <w:rPr/>
  </w:style>
  <w:style w:type="paragraph" w:styleId="Heading6">
    <w:name w:val="heading 6"/>
    <w:basedOn w:val="Normal"/>
    <w:next w:val="BodyText"/>
    <w:qFormat/>
    <w:pPr>
      <w:numPr>
        <w:ilvl w:val="5"/>
        <w:numId w:val="1"/>
      </w:numPr>
      <w:spacing w:before="0" w:after="240"/>
      <w:ind w:firstLine="720" w:start="3600" w:end="0"/>
      <w:outlineLvl w:val="5"/>
    </w:pPr>
    <w:rPr/>
  </w:style>
  <w:style w:type="paragraph" w:styleId="Heading7">
    <w:name w:val="heading 7"/>
    <w:basedOn w:val="Normal"/>
    <w:next w:val="BodyText"/>
    <w:qFormat/>
    <w:pPr>
      <w:numPr>
        <w:ilvl w:val="6"/>
        <w:numId w:val="1"/>
      </w:numPr>
      <w:spacing w:before="0" w:after="240"/>
      <w:ind w:firstLine="720" w:start="4320" w:end="0"/>
      <w:outlineLvl w:val="6"/>
    </w:pPr>
    <w:rPr/>
  </w:style>
  <w:style w:type="paragraph" w:styleId="Heading8">
    <w:name w:val="heading 8"/>
    <w:basedOn w:val="Normal"/>
    <w:next w:val="BodyText"/>
    <w:qFormat/>
    <w:pPr>
      <w:numPr>
        <w:ilvl w:val="7"/>
        <w:numId w:val="1"/>
      </w:numPr>
      <w:spacing w:before="0" w:after="240"/>
      <w:ind w:firstLine="720" w:start="5040" w:end="0"/>
      <w:outlineLvl w:val="7"/>
    </w:pPr>
    <w:rPr/>
  </w:style>
  <w:style w:type="paragraph" w:styleId="Heading9">
    <w:name w:val="heading 9"/>
    <w:basedOn w:val="Normal"/>
    <w:next w:val="BodyText"/>
    <w:qFormat/>
    <w:pPr>
      <w:numPr>
        <w:ilvl w:val="8"/>
        <w:numId w:val="1"/>
      </w:numPr>
      <w:spacing w:before="0" w:after="240"/>
      <w:ind w:firstLine="720" w:start="5760" w:end="0"/>
      <w:outlineLvl w:val="8"/>
    </w:pPr>
    <w:rPr/>
  </w:style>
  <w:style w:type="character" w:styleId="WW8Num2z0">
    <w:name w:val="WW8Num2z0"/>
    <w:qFormat/>
    <w:rPr>
      <w:rFonts w:ascii="Times New Roman" w:hAnsi="Times New Roman" w:cs="Times New Roman"/>
      <w:b/>
      <w:i w:val="false"/>
      <w:sz w:val="20"/>
      <w:u w:val="none"/>
    </w:rPr>
  </w:style>
  <w:style w:type="character" w:styleId="WW8Num3z0">
    <w:name w:val="WW8Num3z0"/>
    <w:qFormat/>
    <w:rPr/>
  </w:style>
  <w:style w:type="character" w:styleId="WW8Num4z0">
    <w:name w:val="WW8Num4z0"/>
    <w:qFormat/>
    <w:rPr>
      <w:rFonts w:ascii="Times New Roman" w:hAnsi="Times New Roman" w:cs="Times New Roman"/>
      <w:b w:val="false"/>
      <w:i w:val="false"/>
      <w:color w:val="000000"/>
      <w:sz w:val="20"/>
      <w:u w:val="none"/>
    </w:rPr>
  </w:style>
  <w:style w:type="character" w:styleId="WW8Num5z0">
    <w:name w:val="WW8Num5z0"/>
    <w:qFormat/>
    <w:rPr>
      <w:rFonts w:ascii="Times New Roman" w:hAnsi="Times New Roman" w:cs="Times New Roman"/>
      <w:b w:val="false"/>
      <w:i w:val="false"/>
      <w:sz w:val="20"/>
      <w:u w:val="none"/>
    </w:rPr>
  </w:style>
  <w:style w:type="character" w:styleId="WW8Num6z0">
    <w:name w:val="WW8Num6z0"/>
    <w:qFormat/>
    <w:rPr/>
  </w:style>
  <w:style w:type="character" w:styleId="WW8Num7z0">
    <w:name w:val="WW8Num7z0"/>
    <w:qFormat/>
    <w:rPr/>
  </w:style>
  <w:style w:type="character" w:styleId="WW8Num8z0">
    <w:name w:val="WW8Num8z0"/>
    <w:qFormat/>
    <w:rPr>
      <w:color w:val="000000"/>
    </w:rPr>
  </w:style>
  <w:style w:type="character" w:styleId="WW8NumSt3z0">
    <w:name w:val="WW8NumSt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next w:val="Normal"/>
    <w:qFormat/>
    <w:pPr>
      <w:ind w:hanging="4680" w:start="4680" w:end="0"/>
      <w:jc w:val="both"/>
    </w:pPr>
    <w:rPr>
      <w:rFonts w:ascii="Arial" w:hAnsi="Arial" w:cs="Arial"/>
      <w:b/>
      <w:sz w:val="20"/>
    </w:rPr>
  </w:style>
  <w:style w:type="paragraph" w:styleId="Index">
    <w:name w:val="Index"/>
    <w:basedOn w:val="Normal"/>
    <w:qFormat/>
    <w:pPr>
      <w:suppressLineNumbers/>
    </w:pPr>
    <w:rPr>
      <w:rFonts w:cs="NotoSans NF"/>
    </w:rPr>
  </w:style>
  <w:style w:type="paragraph" w:styleId="DoubleSpace">
    <w:name w:val="Double Space"/>
    <w:basedOn w:val="Normal"/>
    <w:qFormat/>
    <w:pPr>
      <w:spacing w:lineRule="auto" w:line="480"/>
      <w:ind w:firstLine="1440" w:start="0" w:end="0"/>
    </w:pPr>
    <w:rPr/>
  </w:style>
  <w:style w:type="paragraph" w:styleId="Quotation">
    <w:name w:val="Quotation"/>
    <w:basedOn w:val="Normal"/>
    <w:qFormat/>
    <w:pPr>
      <w:spacing w:before="0" w:after="240"/>
      <w:ind w:hanging="0" w:start="1440" w:end="1440"/>
    </w:pPr>
    <w:rPr/>
  </w:style>
  <w:style w:type="paragraph" w:styleId="SingleSpace">
    <w:name w:val="Single Space"/>
    <w:basedOn w:val="Normal"/>
    <w:qFormat/>
    <w:pPr>
      <w:spacing w:before="0" w:after="240"/>
      <w:ind w:firstLine="1440" w:start="0" w:end="0"/>
    </w:pPr>
    <w:rPr/>
  </w:style>
  <w:style w:type="paragraph" w:styleId="TOAHeading">
    <w:name w:val="TOA Heading"/>
    <w:basedOn w:val="Normal"/>
    <w:next w:val="Normal"/>
    <w:qFormat/>
    <w:pPr>
      <w:spacing w:before="0" w:after="240"/>
      <w:jc w:val="center"/>
    </w:pPr>
    <w:rPr>
      <w:b/>
    </w:rPr>
  </w:style>
  <w:style w:type="paragraph" w:styleId="FootnoteText">
    <w:name w:val="footnote text"/>
    <w:basedOn w:val="Normal"/>
    <w:pPr>
      <w:widowControl w:val="false"/>
      <w:tabs>
        <w:tab w:val="left" w:pos="720" w:leader="none"/>
      </w:tabs>
      <w:spacing w:before="0" w:after="240"/>
      <w:ind w:hanging="720" w:start="720" w:end="0"/>
    </w:pPr>
    <w:rPr/>
  </w:style>
  <w:style w:type="paragraph" w:styleId="EndnoteText">
    <w:name w:val="endnote text"/>
    <w:basedOn w:val="Normal"/>
    <w:pPr>
      <w:tabs>
        <w:tab w:val="left" w:pos="720" w:leader="none"/>
      </w:tabs>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heading">
    <w:name w:val="Centered heading"/>
    <w:basedOn w:val="Normal"/>
    <w:next w:val="SingleSpace"/>
    <w:qFormat/>
    <w:pPr>
      <w:keepNext w:val="true"/>
      <w:spacing w:before="0" w:after="240"/>
      <w:jc w:val="center"/>
    </w:pPr>
    <w:rPr>
      <w:u w:val="single"/>
    </w:rPr>
  </w:style>
  <w:style w:type="paragraph" w:styleId="NumberedParagraphs">
    <w:name w:val="Numbered Paragraphs"/>
    <w:basedOn w:val="Normal"/>
    <w:qFormat/>
    <w:pPr>
      <w:numPr>
        <w:ilvl w:val="0"/>
        <w:numId w:val="5"/>
      </w:numPr>
      <w:spacing w:lineRule="auto" w:line="48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LeftHeading">
    <w:name w:val="Left Heading"/>
    <w:basedOn w:val="Normal"/>
    <w:next w:val="SingleSpace"/>
    <w:qFormat/>
    <w:pPr>
      <w:keepNext w:val="true"/>
      <w:spacing w:before="0" w:after="240"/>
    </w:pPr>
    <w:rPr>
      <w:u w:val="single"/>
    </w:rPr>
  </w:style>
  <w:style w:type="paragraph" w:styleId="Signature">
    <w:name w:val="Signature"/>
    <w:basedOn w:val="Normal"/>
    <w:pPr>
      <w:keepLines/>
      <w:tabs>
        <w:tab w:val="clear" w:pos="720"/>
        <w:tab w:val="left" w:pos="5040" w:leader="none"/>
        <w:tab w:val="left" w:pos="8640" w:leader="none"/>
      </w:tabs>
      <w:spacing w:before="0" w:after="480"/>
      <w:ind w:hanging="360" w:start="5040" w:end="0"/>
    </w:pPr>
    <w:rPr/>
  </w:style>
  <w:style w:type="paragraph" w:styleId="flushunder">
    <w:name w:val="flushunder"/>
    <w:basedOn w:val="Normal"/>
    <w:qFormat/>
    <w:pPr>
      <w:keepNext w:val="true"/>
      <w:spacing w:before="0" w:after="240"/>
    </w:pPr>
    <w:rPr>
      <w:b/>
      <w:u w:val="single"/>
    </w:rPr>
  </w:style>
  <w:style w:type="paragraph" w:styleId="BodyTextIndent">
    <w:name w:val="Body Text Indent"/>
    <w:basedOn w:val="Normal"/>
    <w:pPr>
      <w:tabs>
        <w:tab w:val="clear" w:pos="720"/>
        <w:tab w:val="left" w:pos="900" w:leader="none"/>
      </w:tabs>
      <w:spacing w:before="0" w:after="240"/>
      <w:ind w:hanging="540" w:start="900" w:end="0"/>
    </w:pPr>
    <w:rPr/>
  </w:style>
  <w:style w:type="paragraph" w:styleId="i">
    <w:name w:val="(i)"/>
    <w:basedOn w:val="BodyText"/>
    <w:qFormat/>
    <w:pPr>
      <w:ind w:hanging="720" w:start="2160" w:end="0"/>
    </w:pPr>
    <w:rPr>
      <w:color w:val="000000"/>
    </w:rPr>
  </w:style>
  <w:style w:type="paragraph" w:styleId="CommentText">
    <w:name w:val="Comment Text"/>
    <w:basedOn w:val="Normal"/>
    <w:qFormat/>
    <w:pPr/>
    <w:rPr>
      <w:sz w:val="20"/>
    </w:rPr>
  </w:style>
  <w:style w:type="paragraph" w:styleId="BodyTextIndent2">
    <w:name w:val="Body Text Indent 2"/>
    <w:basedOn w:val="Normal"/>
    <w:qFormat/>
    <w:pPr>
      <w:keepLines/>
      <w:widowControl w:val="false"/>
      <w:tabs>
        <w:tab w:val="clear" w:pos="720"/>
        <w:tab w:val="left" w:pos="3690" w:leader="none"/>
      </w:tabs>
      <w:ind w:hanging="3326" w:start="3686" w:end="0"/>
    </w:pPr>
    <w:rPr>
      <w:rFonts w:ascii="Arial" w:hAnsi="Arial" w:cs="Arial"/>
      <w:sz w:val="20"/>
    </w:rPr>
  </w:style>
  <w:style w:type="paragraph" w:styleId="BlockText">
    <w:name w:val="Block Text"/>
    <w:basedOn w:val="Normal"/>
    <w:qFormat/>
    <w:pPr>
      <w:tabs>
        <w:tab w:val="clear" w:pos="720"/>
        <w:tab w:val="left" w:pos="0" w:leader="none"/>
      </w:tabs>
      <w:ind w:hanging="0" w:start="709" w:end="461"/>
      <w:jc w:val="both"/>
    </w:pPr>
    <w:rPr/>
  </w:style>
  <w:style w:type="paragraph" w:styleId="BodyText2">
    <w:name w:val="Body Text 2"/>
    <w:basedOn w:val="Normal"/>
    <w:qFormat/>
    <w:pPr>
      <w:jc w:val="both"/>
    </w:pPr>
    <w:rPr>
      <w:rFonts w:ascii="Arial" w:hAnsi="Arial" w:cs="Arial"/>
      <w:sz w:val="20"/>
    </w:rPr>
  </w:style>
  <w:style w:type="paragraph" w:styleId="BodyTextIndent3">
    <w:name w:val="Body Text Indent 3"/>
    <w:basedOn w:val="Normal"/>
    <w:qFormat/>
    <w:pPr>
      <w:ind w:hanging="0" w:start="4680" w:end="0"/>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2000-07-21T18:05:00Z</dcterms:created>
  <dc:creator>Nat West</dc:creator>
  <dc:description/>
  <dc:language>en-CA</dc:language>
  <cp:lastModifiedBy>mladas</cp:lastModifiedBy>
  <cp:lastPrinted>2000-07-21T16:51:00Z</cp:lastPrinted>
  <dcterms:modified xsi:type="dcterms:W3CDTF">2000-07-21T18:25:00Z</dcterms:modified>
  <cp:revision>3</cp:revision>
  <dc:subject/>
  <dc:title>Microchip - Second Confirmation</dc:title>
</cp:coreProperties>
</file>