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media/image1.emf" ContentType="image/x-emf"/>
  <Override PartName="/word/media/image2.emf" ContentType="image/x-emf"/>
  <Override PartName="/word/media/image3.emf" ContentType="image/x-e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67" w:leader="none"/>
        </w:tabs>
        <w:rPr>
          <w:rFonts w:ascii="Times New Roman" w:hAnsi="Times New Roman" w:eastAsia="Times New Roman" w:cs="Times New Roman"/>
          <w:sz w:val="36"/>
          <w:szCs w:val="36"/>
        </w:rPr>
      </w:pPr>
      <w:r>
        <w:rPr>
          <w:rFonts w:eastAsia="Times New Roman" w:cs="Times New Roman" w:ascii="Times New Roman" w:hAnsi="Times New Roman"/>
          <w:sz w:val="36"/>
          <w:szCs w:val="36"/>
        </w:rPr>
      </w:r>
    </w:p>
    <w:p>
      <w:pPr>
        <w:pStyle w:val="Normal"/>
        <w:tabs>
          <w:tab w:val="clear" w:pos="720"/>
          <w:tab w:val="left" w:pos="567" w:leader="none"/>
        </w:tabs>
        <w:rPr>
          <w:rFonts w:ascii="Times New Roman" w:hAnsi="Times New Roman" w:eastAsia="Times New Roman" w:cs="Times New Roman"/>
          <w:sz w:val="36"/>
          <w:szCs w:val="36"/>
        </w:rPr>
      </w:pPr>
      <w:r>
        <w:rPr>
          <w:rFonts w:eastAsia="Times New Roman" w:cs="Times New Roman" w:ascii="Times New Roman" w:hAnsi="Times New Roman"/>
          <w:sz w:val="36"/>
          <w:szCs w:val="36"/>
        </w:rPr>
      </w:r>
    </w:p>
    <w:p>
      <w:pPr>
        <w:pStyle w:val="Normal"/>
        <w:tabs>
          <w:tab w:val="clear" w:pos="720"/>
          <w:tab w:val="left" w:pos="567" w:leader="none"/>
        </w:tabs>
        <w:rPr>
          <w:rFonts w:ascii="Times New Roman" w:hAnsi="Times New Roman" w:eastAsia="Times New Roman" w:cs="Times New Roman"/>
        </w:rPr>
      </w:pPr>
      <w:r>
        <w:rPr>
          <w:rFonts w:eastAsia="Times New Roman" w:cs="Times New Roman" w:ascii="Times New Roman" w:hAnsi="Times New Roman"/>
          <w:sz w:val="36"/>
          <w:szCs w:val="36"/>
          <w:lang w:val="en-CA"/>
        </w:rPr>
        <w:drawing>
          <wp:inline distT="0" distB="0" distL="0" distR="0">
            <wp:extent cx="5274310" cy="26009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5274310" cy="2600960"/>
                    </a:xfrm>
                    <a:prstGeom prst="rect">
                      <a:avLst/>
                    </a:prstGeom>
                    <a:noFill/>
                  </pic:spPr>
                </pic:pic>
              </a:graphicData>
            </a:graphic>
          </wp:inline>
        </w:drawing>
      </w:r>
    </w:p>
    <w:p>
      <w:pPr>
        <w:pStyle w:val="Normal"/>
        <w:jc w:val="center"/>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sz w:val="22"/>
          <w:szCs w:val="22"/>
        </w:rPr>
      </w:pPr>
      <w:r>
        <w:rPr>
          <w:rFonts w:eastAsia="Times New Roman" w:cs="Times New Roman" w:ascii="Times New Roman" w:hAnsi="Times New Roman"/>
          <w:lang w:val="en-CA"/>
        </w:rPr>
        <w:drawing>
          <wp:inline distT="0" distB="0" distL="0" distR="0">
            <wp:extent cx="3353435" cy="447167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3353435" cy="4471670"/>
                    </a:xfrm>
                    <a:prstGeom prst="rect">
                      <a:avLst/>
                    </a:prstGeom>
                    <a:noFill/>
                  </pic:spPr>
                </pic:pic>
              </a:graphicData>
            </a:graphic>
          </wp:inline>
        </w:drawing>
      </w:r>
    </w:p>
    <w:p>
      <w:pPr>
        <w:pStyle w:val="Normal"/>
        <w:jc w:val="center"/>
        <w:rPr>
          <w:rFonts w:ascii="Arial" w:hAnsi="Arial" w:eastAsia="Arial" w:cs="Arial"/>
          <w:sz w:val="28"/>
          <w:szCs w:val="28"/>
          <w:u w:val="single"/>
        </w:rPr>
      </w:pPr>
      <w:r>
        <w:rPr>
          <w:rFonts w:eastAsia="Arial" w:cs="Arial" w:ascii="Arial" w:hAnsi="Arial"/>
          <w:sz w:val="28"/>
          <w:szCs w:val="28"/>
          <w:u w:val="single"/>
        </w:rPr>
      </w:r>
    </w:p>
    <w:p>
      <w:pPr>
        <w:sectPr>
          <w:headerReference w:type="default" r:id="rId4"/>
          <w:footerReference w:type="default" r:id="rId5"/>
          <w:type w:val="nextPage"/>
          <w:pgSz w:w="11906" w:h="16838"/>
          <w:pgMar w:left="1797" w:right="1797" w:gutter="0" w:header="720" w:top="1440" w:footer="720" w:bottom="1440"/>
          <w:pgNumType w:fmt="decimal"/>
          <w:formProt w:val="false"/>
          <w:textDirection w:val="lrTb"/>
        </w:sectPr>
      </w:pPr>
    </w:p>
    <w:p>
      <w:pPr>
        <w:pStyle w:val="Normal"/>
        <w:rPr>
          <w:rFonts w:ascii="Times New Roman" w:hAnsi="Times New Roman" w:eastAsia="Times New Roman" w:cs="Times New Roman"/>
          <w:sz w:val="28"/>
          <w:szCs w:val="28"/>
        </w:rPr>
      </w:pPr>
      <w:r>
        <w:rPr>
          <w:rFonts w:eastAsia="Arial" w:cs="Arial" w:ascii="Arial" w:hAnsi="Arial"/>
          <w:sz w:val="28"/>
          <w:szCs w:val="28"/>
          <w:u w:val="single"/>
        </w:rPr>
        <w:t>OIL GAS</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b/>
          <w:bCs/>
        </w:rPr>
        <w:t>Argentine Gas Industry</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pPr>
      <w:r>
        <w:rPr>
          <w:rFonts w:eastAsia="Times New Roman" w:cs="Times New Roman" w:ascii="Times New Roman" w:hAnsi="Times New Roman"/>
        </w:rPr>
        <w:tab/>
      </w:r>
      <w:r>
        <w:rPr>
          <w:rFonts w:eastAsia="Times New Roman" w:cs="Times New Roman" w:ascii="Times New Roman" w:hAnsi="Times New Roman"/>
          <w:sz w:val="20"/>
          <w:szCs w:val="20"/>
        </w:rPr>
        <w:t>Argentine gas exports will significantly increase during the next few years, showing that there is still a lot to be done within the South American gas market, and that the Argentine gas industry is able and ready to answer the call.</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Three projects are focused on exporting gas to Chile, Uruguay and Brazil, in order to develop the Argentine domestic market.</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 xml:space="preserve">The first project is Gasoducto del Pac’fico, a 600 km-long pipeline from Loma de La Lata, (NeuquŽn, Argentina) up to Concepci—n (Chile) that will be completed in November 1999. The consortium in charge of the project is formed by YPF S.A., EL PASO ENERGY, ENDESA and NOVA GAS INTERNATIONAL. </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 xml:space="preserve">This US$ 400 MM facility will transport, at the beginning of its operations, 4 MMm3 of gas per day, and is expected to reach a maximum capacity of 9 MMm3 per day. </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Gasoducto del Pac’fico also entails the development of southern Chilean industries, by supplying gas to the petrochemical economic center around the city of Concepci—n. Moreover, it will supply gas for domestic purposes in the area and to the southern region, once the extension of the pipeline to Temuco is finished.</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The second project will consist in two pipelines that will have Brazil as final destination:</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tab/>
        <w:t>The Paran‡ Ð Uruguayana project developed by TRANSPORTADORA DE GAS DEL MERCOSUR (TGM) with a 440 km length involving a US$ 130 MM investment, will run through the Argentine provinces of Entre R’os and Corrientes in order to supply gas to Uruguayana (Brazil) and also to the Argentine territory.</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The gas will be transported through a pipeline 1,700 km-long from Loma de La Lata to Brazil.</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This pipeline, will be finished by July 2000, and will have an initial 2.8 MMm3 capacity per day and is expected to achieve a maximum capacity of 15 MMm3 per day.</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tab/>
        <w:t xml:space="preserve">The Uruguayana - Porto Alegre project is an extension planned by TRANSPORTADORA SUBRASILEIRA DE GAS, a company formed by YPF S.A., TECHINT, CGC S.A., PETROBRAS, IPIRANGA, TRANSCANADA and TOTAL AUSTRAL. </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 xml:space="preserve">Finally, the third project, known as Gasoducto Cruz del Sur, will connect Argentina, Uruguay and Brazil by means of a pipeline underneath the R’o de la Plata, from Punta Lara (Argentina) to Colonia del Sacramento (Uruguay) and from there to Montevideo (Uruguay) and Porto Alegre (Brazil). </w:t>
      </w:r>
    </w:p>
    <w:p>
      <w:pPr>
        <w:pStyle w:val="Normal"/>
        <w:rPr/>
      </w:pPr>
      <w:r>
        <w:rPr>
          <w:rFonts w:eastAsia="Times New Roman" w:cs="Times New Roman" w:ascii="Times New Roman" w:hAnsi="Times New Roman"/>
          <w:sz w:val="20"/>
          <w:szCs w:val="20"/>
        </w:rPr>
        <w:tab/>
        <w:t>This is a US$ 135 MM project undertaken by BRITISH GAS, PANAMERICAN ENERGY, ANCAP and WINTERSHALL is expected to be completed by April 2001 and to have an initial capacity of 8 MMm3 per day increasing up to 15 MMm3 per day.</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rPr>
      </w:pPr>
      <w:r>
        <w:rPr>
          <w:rFonts w:eastAsia="Times New Roman" w:cs="Times New Roman" w:ascii="Times New Roman" w:hAnsi="Times New Roman"/>
          <w:b/>
          <w:bCs/>
        </w:rPr>
        <w:t>San Jorge for sale</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One of the largest and most important Argentine oil and gas producing companies is for sale. It is PETROLERA ARGENTINA SAN JORGE S.A. ("SAN JORGE"), a company formed by Argentine capital, belonging to the Ostry and Priœ families.</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SAN JORGE owns some of the most productive fields in Argentina and has the highest production per well of the country. One of the most attractive properties of SAN JORGE is "Huantraico" that produces almost 8,000 m3 per day of oil and approximately 865 m3 per day of gas.</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 xml:space="preserve">SAN JORGE has requested assistance from JP MORGAN to organize the sale of the company. </w:t>
      </w:r>
    </w:p>
    <w:p>
      <w:pPr>
        <w:pStyle w:val="Normal"/>
        <w:rPr/>
      </w:pPr>
      <w:r>
        <w:rPr>
          <w:rFonts w:eastAsia="Times New Roman" w:cs="Times New Roman" w:ascii="Times New Roman" w:hAnsi="Times New Roman"/>
          <w:sz w:val="20"/>
          <w:szCs w:val="20"/>
        </w:rPr>
        <w:tab/>
        <w:t>The official list of the probable bidders has not yet been officially revealed, but some of the companies mentioned are PEREZ COMPANC, SHELL, AEC, TEXACO, TOTAL AUSTRAL, CHEVRON, ENRON and the Chilean ENAP.</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b/>
          <w:bCs/>
          <w:i/>
          <w:iCs/>
          <w:sz w:val="20"/>
          <w:szCs w:val="20"/>
        </w:rPr>
        <w:t>San Jorge in Figures</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pPr>
      <w:r>
        <w:rPr>
          <w:rFonts w:eastAsia="Times New Roman" w:cs="Times New Roman" w:ascii="Times New Roman" w:hAnsi="Times New Roman"/>
          <w:sz w:val="20"/>
          <w:szCs w:val="20"/>
        </w:rPr>
        <w:t>Drilled wells as from 1988:  41</w:t>
      </w:r>
    </w:p>
    <w:p>
      <w:pPr>
        <w:pStyle w:val="Normal"/>
        <w:rPr/>
      </w:pPr>
      <w:r>
        <w:rPr>
          <w:rFonts w:eastAsia="Times New Roman" w:cs="Times New Roman" w:ascii="Times New Roman" w:hAnsi="Times New Roman"/>
          <w:sz w:val="20"/>
          <w:szCs w:val="20"/>
        </w:rPr>
        <w:t>Areas in Argentina :  22</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Discovered fields : 5 in production and 3 </w:t>
      </w:r>
    </w:p>
    <w:p>
      <w:pPr>
        <w:pStyle w:val="Normal"/>
        <w:ind w:firstLine="720" w:start="720" w:end="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under evaluation.</w:t>
      </w:r>
    </w:p>
    <w:p>
      <w:pPr>
        <w:pStyle w:val="Normal"/>
        <w:rPr/>
      </w:pPr>
      <w:r>
        <w:rPr>
          <w:rFonts w:eastAsia="Times New Roman" w:cs="Times New Roman" w:ascii="Times New Roman" w:hAnsi="Times New Roman"/>
          <w:sz w:val="20"/>
          <w:szCs w:val="20"/>
        </w:rPr>
        <w:t>Number of wells in production : 150</w:t>
      </w:r>
    </w:p>
    <w:p>
      <w:pPr>
        <w:pStyle w:val="Normal"/>
        <w:rPr/>
      </w:pPr>
      <w:r>
        <w:rPr>
          <w:rFonts w:eastAsia="Times New Roman" w:cs="Times New Roman" w:ascii="Times New Roman" w:hAnsi="Times New Roman"/>
          <w:sz w:val="20"/>
          <w:szCs w:val="20"/>
        </w:rPr>
        <w:t>Daily oil production : 10,400 m3</w:t>
      </w:r>
    </w:p>
    <w:p>
      <w:pPr>
        <w:pStyle w:val="Normal"/>
        <w:rPr/>
      </w:pPr>
      <w:r>
        <w:rPr>
          <w:rFonts w:eastAsia="Times New Roman" w:cs="Times New Roman" w:ascii="Times New Roman" w:hAnsi="Times New Roman"/>
          <w:sz w:val="20"/>
          <w:szCs w:val="20"/>
        </w:rPr>
        <w:t>Percentage in the market :</w:t>
        <w:tab/>
        <w:t>7.7%</w:t>
      </w:r>
    </w:p>
    <w:p>
      <w:pPr>
        <w:pStyle w:val="Normal"/>
        <w:rPr/>
      </w:pPr>
      <w:r>
        <w:rPr>
          <w:rFonts w:eastAsia="Times New Roman" w:cs="Times New Roman" w:ascii="Times New Roman" w:hAnsi="Times New Roman"/>
          <w:sz w:val="20"/>
          <w:szCs w:val="20"/>
        </w:rPr>
        <w:t>Invoicing : US$ 350 MM</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rPr>
      </w:pPr>
      <w:r>
        <w:rPr>
          <w:rFonts w:eastAsia="Times New Roman" w:cs="Times New Roman" w:ascii="Times New Roman" w:hAnsi="Times New Roman"/>
          <w:b/>
          <w:bCs/>
        </w:rPr>
        <w:t>Atacama Project</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Having obtained the final approval of the gas enforcement authority, ENARGAS, Atacama gas pipeline commenced the transport of Argentine gas to the northern region of Chile.</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 xml:space="preserve">Situated in the northwest of Argentina, Atacama, a US$ 850 MM investment, with a total extension of 956 km, hired 800 workers for the construction of the pipeline. This gas pipeline, with a 20-inches diameter and capable of transporting 8.5 MMm3 of gas per day, is the second pipeline to transport gas from Argentina to Chile, GasAndes being the first one and NorAndino (expected to begin operations by the end of 1999) the third. </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 xml:space="preserve">GasAtacama, the consortium in charge of the project formed by Chilean ENDESA and American CMS ENERGY commenced the construction of the gas pipeline at the end of 1997, and finished it on April 1999. The first deliveries of gas started in May 1999. On August 19, 1999, Atacama was duly inaugurated by presidents of Argentina and Chile. </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 xml:space="preserve">Atacama also includes an electric powerhouse with a total capacity of 740 MW that will allow the development of the regional economies, enabling the production of electric energy for both, the Chilean and the Argentine mining industries and for Chilean seaports.  </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rPr>
      </w:pPr>
      <w:r>
        <w:rPr>
          <w:rFonts w:eastAsia="Times New Roman" w:cs="Times New Roman" w:ascii="Times New Roman" w:hAnsi="Times New Roman"/>
          <w:b/>
          <w:bCs/>
        </w:rPr>
        <w:t>An Overview of Mercosur</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Mercosur, the fastest growing trading block in the world, has figured prominently in the opening of the economy, having an important hydrocarbon component.</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Mercosur has become a key element of business strategy, and the access to the MercosurÕs market is being made especially through operations in Argentina.</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 xml:space="preserve">With an increase of US$ 12 billions in its nominal Gross Domestic Product, Argentina continues to expand its role in both domestic and regional development of natural resources. </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 xml:space="preserve">According to a recent estimate of PEREZ COMPANC, in the next decade, the energy sector could receive investments of over US$ 15,000 MM. Telecommunications, during 1999, will generate more than US$ 10,000 MM in annual revenue and will offer lucrative opportunities. Mining exports in the year 2000 are projected to reach at least US$ 1,500 MM. </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The close proximity to Brazil and Argentina, combined with manageable complexity and, market size, makes Uruguay a good test market for the trading block.</w:t>
      </w:r>
    </w:p>
    <w:p>
      <w:pPr>
        <w:pStyle w:val="Normal"/>
        <w:rPr/>
      </w:pPr>
      <w:r>
        <w:rPr>
          <w:rFonts w:eastAsia="Times New Roman" w:cs="Times New Roman" w:ascii="Times New Roman" w:hAnsi="Times New Roman"/>
          <w:sz w:val="20"/>
          <w:szCs w:val="20"/>
        </w:rPr>
        <w:tab/>
        <w:t>Looking for new investments and partners, PETROBRAS, the Brazilian state-owned company, has created a special department for new investments, ANEP (Assessoria de Novos Neg—cios e Parcerias). The oil and gas consumption has increased significantly, especially of aviation kerosene, achieving a growth of 6.9%.</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b/>
          <w:bCs/>
        </w:rPr>
      </w:pPr>
      <w:r>
        <w:rPr>
          <w:rFonts w:eastAsia="Times New Roman" w:cs="Times New Roman" w:ascii="Times New Roman" w:hAnsi="Times New Roman"/>
          <w:b/>
          <w:bCs/>
        </w:rPr>
        <w:t>Brazil Under Focus</w:t>
      </w:r>
    </w:p>
    <w:p>
      <w:pPr>
        <w:pStyle w:val="Normal"/>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 xml:space="preserve">With the biggest surface in Mercosur, Brazil has potential hydrocarbon bearing provinces comprising 5.4 MM km2 distributed in 31 sedimentary basins. </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Brazil entered into the petroleum</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scenario in 1953, with the enactment of Law No. 2,004, which created the so called federal monopoly and Petr—leo Brasileiro S.A. - PETROBRAS. The first step to finish with the StateÕs monopoly was the approval of the Constitutional Amendment No. 9 in 1995, which changed article 177, N¼ 1¼ of the Federal Constitution. After that, in connection with the new constitutional trend, the Brazilian Congress approved Law No. 9,478/97 Ð the Brazilian Hydrocarbons Law. Nowadays, the government is concentrated on creating financial opportunities for the private sector through privatization,deregulation and removal of impediments to competition. </w:t>
      </w:r>
    </w:p>
    <w:p>
      <w:pPr>
        <w:pStyle w:val="Normal"/>
        <w:rPr/>
      </w:pPr>
      <w:r>
        <w:rPr>
          <w:rFonts w:eastAsia="Times New Roman" w:cs="Times New Roman" w:ascii="Times New Roman" w:hAnsi="Times New Roman"/>
          <w:sz w:val="20"/>
          <w:szCs w:val="20"/>
        </w:rPr>
        <w:tab/>
        <w:t xml:space="preserve">Law No. 9,478/97 has also created the ANP ("Agencia Nacional de Petroleo"), a body that is independent from the Federal Public Administration, under the National Council of Energy, headed by the Minister of Energy and Mines. ANPÕs terms of reference are to regulate, hire and inspect the economic activities of the petroleum industry. In order to carry out oil and natural gas exploration and exploitation, the interested companies must participate in competitive bidding rounds to be conducted by ANP. The winners of such process should execute concession contracts with ANP, upon the conditions established by ANP. </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 xml:space="preserve">Currrently, PETROBRAS has the </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concession of 87 exploration blocks, representing 6.9% of BrazilÕs sedimentary areas. Concessions granted to international companies, such as AGIP, YPF, TEXACO, ESSO, AMERADA HESS and KERR McGEE, represent only 2% of the sedimentary basins.</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 xml:space="preserve">PETROBRAS, the state-owned company, is now the 15th largest oil company in the world. In the next 12 months, the government plans to deposit approximately 18.5% of PETROBRAS shares on the New York Stock Exchange. </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pPr>
      <w:r>
        <w:rPr>
          <w:rFonts w:eastAsia="Times New Roman" w:cs="Times New Roman" w:ascii="Times New Roman" w:hAnsi="Times New Roman"/>
          <w:b/>
          <w:bCs/>
          <w:i/>
          <w:iCs/>
          <w:sz w:val="20"/>
          <w:szCs w:val="20"/>
        </w:rPr>
        <w:t>PETROBRAS in Figures</w:t>
      </w:r>
      <w:r>
        <w:rPr>
          <w:rFonts w:eastAsia="Times New Roman" w:cs="Times New Roman" w:ascii="Times New Roman" w:hAnsi="Times New Roman"/>
          <w:sz w:val="20"/>
          <w:szCs w:val="20"/>
        </w:rPr>
        <w:t xml:space="preserve"> </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pPr>
      <w:r>
        <w:rPr>
          <w:rFonts w:eastAsia="Times New Roman" w:cs="Times New Roman" w:ascii="Times New Roman" w:hAnsi="Times New Roman"/>
          <w:sz w:val="20"/>
          <w:szCs w:val="20"/>
        </w:rPr>
        <w:t>US$ 13 billions</w:t>
        <w:tab/>
        <w:t>assets</w:t>
      </w:r>
    </w:p>
    <w:p>
      <w:pPr>
        <w:pStyle w:val="Normal"/>
        <w:rPr/>
      </w:pPr>
      <w:r>
        <w:rPr>
          <w:rFonts w:eastAsia="Times New Roman" w:cs="Times New Roman" w:ascii="Times New Roman" w:hAnsi="Times New Roman"/>
          <w:sz w:val="20"/>
          <w:szCs w:val="20"/>
        </w:rPr>
        <w:t xml:space="preserve">US$ 14 billions </w:t>
        <w:tab/>
        <w:t>invoicing</w:t>
      </w:r>
    </w:p>
    <w:p>
      <w:pPr>
        <w:pStyle w:val="Normal"/>
        <w:rPr/>
      </w:pPr>
      <w:r>
        <w:rPr>
          <w:rFonts w:eastAsia="Times New Roman" w:cs="Times New Roman" w:ascii="Times New Roman" w:hAnsi="Times New Roman"/>
          <w:sz w:val="20"/>
          <w:szCs w:val="20"/>
        </w:rPr>
        <w:t xml:space="preserve">US$ 5 billions </w:t>
        <w:tab/>
        <w:t>long and short terms debts</w:t>
      </w:r>
    </w:p>
    <w:p>
      <w:pPr>
        <w:pStyle w:val="Normal"/>
        <w:rPr/>
      </w:pPr>
      <w:r>
        <w:rPr>
          <w:rFonts w:eastAsia="Times New Roman" w:cs="Times New Roman" w:ascii="Times New Roman" w:hAnsi="Times New Roman"/>
          <w:sz w:val="20"/>
          <w:szCs w:val="20"/>
        </w:rPr>
        <w:t>38,000</w:t>
        <w:tab/>
        <w:tab/>
        <w:t>employees</w:t>
      </w:r>
    </w:p>
    <w:p>
      <w:pPr>
        <w:pStyle w:val="Normal"/>
        <w:rPr/>
      </w:pPr>
      <w:r>
        <w:rPr>
          <w:rFonts w:eastAsia="Times New Roman" w:cs="Times New Roman" w:ascii="Times New Roman" w:hAnsi="Times New Roman"/>
          <w:sz w:val="20"/>
          <w:szCs w:val="20"/>
        </w:rPr>
        <w:t xml:space="preserve">17,100 billions </w:t>
        <w:tab/>
        <w:t>reserves of barrels of oil</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1,800,000</w:t>
        <w:tab/>
        <w:t xml:space="preserve">barrels daily production </w:t>
      </w:r>
    </w:p>
    <w:p>
      <w:pPr>
        <w:pStyle w:val="Normal"/>
        <w:ind w:firstLine="720" w:start="720" w:end="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capacity </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rPr>
      </w:pPr>
      <w:r>
        <w:rPr>
          <w:rFonts w:eastAsia="Times New Roman" w:cs="Times New Roman" w:ascii="Times New Roman" w:hAnsi="Times New Roman"/>
          <w:b/>
          <w:bCs/>
        </w:rPr>
        <w:t>New Refinery for 2003</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ChubutÕs governor, together with the Secretary of Energy of the Nation, recently announced the issuance of a provincial decree authorizing the construction of a new oil refinery in the coastal city of Caleta C—rdova that will begin its operations in 2003.</w:t>
      </w:r>
    </w:p>
    <w:p>
      <w:pPr>
        <w:pStyle w:val="Normal"/>
        <w:rPr/>
      </w:pPr>
      <w:r>
        <w:rPr>
          <w:rFonts w:eastAsia="Times New Roman" w:cs="Times New Roman" w:ascii="Times New Roman" w:hAnsi="Times New Roman"/>
          <w:sz w:val="20"/>
          <w:szCs w:val="20"/>
        </w:rPr>
        <w:tab/>
        <w:t>This refinery, expected to carry on the refining of 600,000 m3 of crude oil from the year 2003 on, involves an investment estimated in US$ 50 MM, afforded by the Italian FOXPETROLI, with an 85% participating interest and by a 15% interest of the Argentine PETROMINERA CHUBUT S.A.</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b/>
          <w:bCs/>
        </w:rPr>
        <w:t>Petrochemical Industry in Argentina</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 xml:space="preserve">An accelerated rate of growth of the Argentine petrochemical energy began in 1997 with the development of new projects, which included raw material treatment plants. </w:t>
      </w:r>
    </w:p>
    <w:p>
      <w:pPr>
        <w:pStyle w:val="Normal"/>
        <w:rPr/>
      </w:pPr>
      <w:r>
        <w:rPr>
          <w:rFonts w:eastAsia="Times New Roman" w:cs="Times New Roman" w:ascii="Times New Roman" w:hAnsi="Times New Roman"/>
          <w:sz w:val="20"/>
          <w:szCs w:val="20"/>
        </w:rPr>
        <w:tab/>
        <w:t xml:space="preserve">High budget projects currently developing in Argentina are conducted by Compa–’a MEGA, TGS, PBB, POLISUR, SOLVAY-INDUPA, PROFERTIL and PASA. PROFERTIL, integrated by AGRIUM INC. and YPF S.A., will be the largest plant of urea in the world in Bah’a Blanca, Argentina. This project, involves a US$ 600 MM investment and will produce 1 MM tons of urea and 80,000 tons of ammoniac per year. </w:t>
      </w:r>
    </w:p>
    <w:p>
      <w:pPr>
        <w:pStyle w:val="Normal"/>
        <w:rPr/>
      </w:pPr>
      <w:r>
        <w:rPr>
          <w:rFonts w:eastAsia="Times New Roman" w:cs="Times New Roman" w:ascii="Times New Roman" w:hAnsi="Times New Roman"/>
          <w:sz w:val="20"/>
          <w:szCs w:val="20"/>
        </w:rPr>
        <w:tab/>
        <w:t xml:space="preserve">The petrochemical projects will almost duplicate the countryÕs installed capacity and the productive structure in connection with traditional commodities, such as thermoplastics and fertilizers. </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Latin America has a potential for rapid growth now evident by the competitive conditions derived from the abundance of raw material at competitive prices.</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b/>
          <w:bCs/>
        </w:rPr>
        <w:t>Argentina Oil &amp; Gas Exhibition</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Between October 25 and 29, 1999, the third international exhibition related to the oil and gas activities and their by-products, will take place in the city of Buenos Aires. Over 250 companies from Argentina, USA, Spain, Germany, Brazil, Canada, Italy, UK, among other countries, will participate in this exhibition. The National Government declared this event to be of National Interest.</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Arial" w:hAnsi="Arial" w:eastAsia="Arial" w:cs="Arial"/>
          <w:sz w:val="20"/>
          <w:szCs w:val="20"/>
          <w:u w:val="single"/>
        </w:rPr>
      </w:pPr>
      <w:r>
        <w:rPr>
          <w:rFonts w:eastAsia="Arial" w:cs="Arial" w:ascii="Arial" w:hAnsi="Arial"/>
          <w:sz w:val="20"/>
          <w:szCs w:val="20"/>
          <w:u w:val="single"/>
        </w:rPr>
      </w:r>
    </w:p>
    <w:p>
      <w:pPr>
        <w:pStyle w:val="Normal"/>
        <w:rPr>
          <w:rFonts w:ascii="Arial" w:hAnsi="Arial" w:eastAsia="Arial" w:cs="Arial"/>
          <w:sz w:val="20"/>
          <w:szCs w:val="20"/>
          <w:u w:val="single"/>
        </w:rPr>
      </w:pPr>
      <w:r>
        <w:rPr>
          <w:rFonts w:eastAsia="Arial" w:cs="Arial" w:ascii="Arial" w:hAnsi="Arial"/>
          <w:sz w:val="20"/>
          <w:szCs w:val="20"/>
          <w:u w:val="single"/>
        </w:rPr>
      </w:r>
    </w:p>
    <w:p>
      <w:pPr>
        <w:pStyle w:val="Normal"/>
        <w:rPr>
          <w:rFonts w:ascii="Times New Roman" w:hAnsi="Times New Roman" w:eastAsia="Times New Roman" w:cs="Times New Roman"/>
          <w:sz w:val="20"/>
          <w:szCs w:val="20"/>
        </w:rPr>
      </w:pPr>
      <w:r>
        <w:rPr>
          <w:rFonts w:eastAsia="Arial" w:cs="Arial" w:ascii="Arial" w:hAnsi="Arial"/>
          <w:sz w:val="20"/>
          <w:szCs w:val="20"/>
          <w:u w:val="single"/>
        </w:rPr>
        <w:t>ARGENTINA NEWS</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b/>
          <w:bCs/>
        </w:rPr>
        <w:t>Spain reconquers Argentina through Oil Industry</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 xml:space="preserve">Argentina had seen big deals in the last decade as foreign companies moved </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aggressively to get a piece of the action in a country, which welcomed them with open arms.</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And while some of those deals have been truly impressive, none can match the takeover of YPF S.A. ("YPF") by Spain's REPSOL, which placed itself amongst the major ten worldwide energy companies.</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REPSOL was born in Spain as a state owned-company and, although it has been privatized, the Spanish government still holds both majority at the board of directors and control over the company.  It entered Argentina in 1990 when acquiring a large percentage of ASTRAÕS and Eg3Õs shares. It continued its growth by acquiring shares from some of the most important Argentine oil and gas companies, such as PLUSPETROL ENERGY, REFINOR S.A, REFISAN, OLEODUCTOS DEL VALLE S.A., METROGAS, GAS NATURAL BAN, EDENOR, ELECTRICIDAD DE ENTRE RêOS, CENTRAL DOCK SUD, ALGAS, MEJORGAS and POLIGASS LUJçN.</w:t>
      </w:r>
    </w:p>
    <w:p>
      <w:pPr>
        <w:pStyle w:val="Normal"/>
        <w:rPr/>
      </w:pPr>
      <w:r>
        <w:rPr>
          <w:rFonts w:eastAsia="Times New Roman" w:cs="Times New Roman" w:ascii="Times New Roman" w:hAnsi="Times New Roman"/>
          <w:sz w:val="20"/>
          <w:szCs w:val="20"/>
        </w:rPr>
        <w:tab/>
        <w:t xml:space="preserve">Finally, last January REPSOL started to assume control of YPF by acquiring 14.99% of the shares held by the Argentine Government for US$2,100 MM. The following step consisted in submitting a hostile public bid for the acquisition of the remaining 85.1%.  </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Being a perennial money loser with a bloated payroll and extremely poor environmental conditions for many years, YPF was privatized in the early 90s, and in the space of only a few years YPF was transformed into a world-class competitor.</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b/>
          <w:bCs/>
          <w:i/>
          <w:iCs/>
          <w:sz w:val="20"/>
          <w:szCs w:val="20"/>
        </w:rPr>
        <w:t>History of YPF</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1922</w:t>
        <w:tab/>
        <w:t>Created on June 3.</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1925</w:t>
        <w:tab/>
        <w:t>La Plata refinery was inaugurated</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1932</w:t>
        <w:tab/>
        <w:t xml:space="preserve">Argentina becomes the eighth world </w:t>
      </w:r>
    </w:p>
    <w:p>
      <w:pPr>
        <w:pStyle w:val="Normal"/>
        <w:ind w:firstLine="720" w:end="0"/>
        <w:rPr>
          <w:rFonts w:ascii="Times New Roman" w:hAnsi="Times New Roman" w:eastAsia="Times New Roman" w:cs="Times New Roman"/>
          <w:sz w:val="20"/>
          <w:szCs w:val="20"/>
        </w:rPr>
      </w:pPr>
      <w:r>
        <w:rPr>
          <w:rFonts w:eastAsia="Times New Roman" w:cs="Times New Roman" w:ascii="Times New Roman" w:hAnsi="Times New Roman"/>
          <w:sz w:val="20"/>
          <w:szCs w:val="20"/>
        </w:rPr>
        <w:t>oil producer</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1957</w:t>
        <w:tab/>
        <w:t>"Oil Battle Program"</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1962</w:t>
        <w:tab/>
        <w:t>Self supply of oil was achieved</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1991</w:t>
        <w:tab/>
        <w:t xml:space="preserve">Privatization process was initiated </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1993</w:t>
        <w:tab/>
        <w:t xml:space="preserve">YPF started public offering of its </w:t>
      </w:r>
    </w:p>
    <w:p>
      <w:pPr>
        <w:pStyle w:val="Normal"/>
        <w:ind w:firstLine="720" w:end="0"/>
        <w:rPr>
          <w:rFonts w:ascii="Times New Roman" w:hAnsi="Times New Roman" w:eastAsia="Times New Roman" w:cs="Times New Roman"/>
          <w:sz w:val="20"/>
          <w:szCs w:val="20"/>
        </w:rPr>
      </w:pPr>
      <w:r>
        <w:rPr>
          <w:rFonts w:eastAsia="Times New Roman" w:cs="Times New Roman" w:ascii="Times New Roman" w:hAnsi="Times New Roman"/>
          <w:sz w:val="20"/>
          <w:szCs w:val="20"/>
        </w:rPr>
        <w:t>shares</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1994</w:t>
        <w:tab/>
        <w:t xml:space="preserve">Law No. 24,145 of privatization of </w:t>
      </w:r>
    </w:p>
    <w:p>
      <w:pPr>
        <w:pStyle w:val="Normal"/>
        <w:ind w:firstLine="720" w:end="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YPF, and awarding of the areas to </w:t>
      </w:r>
    </w:p>
    <w:p>
      <w:pPr>
        <w:pStyle w:val="Normal"/>
        <w:ind w:firstLine="720" w:end="0"/>
        <w:rPr>
          <w:rFonts w:ascii="Times New Roman" w:hAnsi="Times New Roman" w:eastAsia="Times New Roman" w:cs="Times New Roman"/>
          <w:sz w:val="20"/>
          <w:szCs w:val="20"/>
        </w:rPr>
      </w:pPr>
      <w:r>
        <w:rPr>
          <w:rFonts w:eastAsia="Times New Roman" w:cs="Times New Roman" w:ascii="Times New Roman" w:hAnsi="Times New Roman"/>
          <w:sz w:val="20"/>
          <w:szCs w:val="20"/>
        </w:rPr>
        <w:t>private companies</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1999</w:t>
        <w:tab/>
        <w:t xml:space="preserve">Argentine Government sold its YPFÕs </w:t>
      </w:r>
    </w:p>
    <w:p>
      <w:pPr>
        <w:pStyle w:val="Normal"/>
        <w:ind w:firstLine="720" w:end="0"/>
        <w:rPr>
          <w:rFonts w:ascii="Times New Roman" w:hAnsi="Times New Roman" w:eastAsia="Times New Roman" w:cs="Times New Roman"/>
          <w:sz w:val="20"/>
          <w:szCs w:val="20"/>
        </w:rPr>
      </w:pPr>
      <w:r>
        <w:rPr>
          <w:rFonts w:eastAsia="Times New Roman" w:cs="Times New Roman" w:ascii="Times New Roman" w:hAnsi="Times New Roman"/>
          <w:sz w:val="20"/>
          <w:szCs w:val="20"/>
        </w:rPr>
        <w:t>shares to REPSOL</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pPr>
      <w:r>
        <w:rPr>
          <w:rFonts w:eastAsia="Times New Roman" w:cs="Times New Roman" w:ascii="Times New Roman" w:hAnsi="Times New Roman"/>
          <w:sz w:val="20"/>
          <w:szCs w:val="20"/>
        </w:rPr>
        <w:tab/>
        <w:t xml:space="preserve">The public offer was launched subject to some conditions: to achieve 50% plus one share (although REPSOL committed itself to buy all the shares offered up to 85.1%) and to obtain governmental approval. The Argentine Government immediately granted a virtual authorization as it did not challenge to the sale, and only set the requirement of keeping the local fiscal domicile. By the end of June, the shareholderÕs acceptance was massive and REPSOL added to its former 14.99%, an additional 83.22% (63.52% from the New York market and 19.72% from the Buenos Aires market) at the historical rate of US$ 44.78 per share, while the remaining 1.79% kept in private investorÕs hands. </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b/>
          <w:bCs/>
          <w:i/>
          <w:iCs/>
          <w:sz w:val="20"/>
          <w:szCs w:val="20"/>
        </w:rPr>
        <w:t>Evolution of the Value of YPFÕs Share</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pPr>
      <w:r>
        <w:rPr>
          <w:rFonts w:eastAsia="Times New Roman" w:cs="Times New Roman" w:ascii="Times New Roman" w:hAnsi="Times New Roman"/>
          <w:sz w:val="20"/>
          <w:szCs w:val="20"/>
        </w:rPr>
        <w:t>US$  19</w:t>
        <w:tab/>
        <w:tab/>
        <w:t>1993 YPFÕs Privatization</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US$  12.7</w:t>
        <w:tab/>
        <w:t xml:space="preserve">1997 Tequila Effect   </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US$   32</w:t>
        <w:tab/>
        <w:tab/>
        <w:t xml:space="preserve">1999 (January) after </w:t>
      </w:r>
    </w:p>
    <w:p>
      <w:pPr>
        <w:pStyle w:val="Normal"/>
        <w:ind w:firstLine="720" w:start="720" w:end="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REPSOLÕs first deal </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US$   44.78</w:t>
        <w:tab/>
        <w:t xml:space="preserve">1999 (June) REPSOLÕs </w:t>
      </w:r>
    </w:p>
    <w:p>
      <w:pPr>
        <w:pStyle w:val="Normal"/>
        <w:ind w:firstLine="720" w:start="720" w:end="0"/>
        <w:rPr>
          <w:rFonts w:ascii="Times New Roman" w:hAnsi="Times New Roman" w:eastAsia="Times New Roman" w:cs="Times New Roman"/>
          <w:sz w:val="20"/>
          <w:szCs w:val="20"/>
        </w:rPr>
      </w:pPr>
      <w:r>
        <w:rPr>
          <w:rFonts w:eastAsia="Times New Roman" w:cs="Times New Roman" w:ascii="Times New Roman" w:hAnsi="Times New Roman"/>
          <w:sz w:val="20"/>
          <w:szCs w:val="20"/>
        </w:rPr>
        <w:t>later deal</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From the US$ 13,158 MM paid for the recently acquired shares, more than US$ 3,200 MM have been paid in Argentina. BANCO BILBAO VIZCAYA, GOLDMAN SACHS, LA CAIXA, MERRILL LYNCH, CITIGROUP and UBS, among others, can be pointed out as those that assumed the financing of US$ 15,500 MM that allowed</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REPSOL to acquire the local company in cash (requirement established in YPFÕs bylaws). In order to pay off the debt, REPSOL committed to sell non-strategic goods (US$ 2.5 billions), reserves held in investment plans (US$ 2 billions), and to issue new shares (US$ 5 billions).</w:t>
      </w:r>
    </w:p>
    <w:p>
      <w:pPr>
        <w:pStyle w:val="Normal"/>
        <w:rPr/>
      </w:pPr>
      <w:r>
        <w:rPr>
          <w:rFonts w:eastAsia="Times New Roman" w:cs="Times New Roman" w:ascii="Times New Roman" w:hAnsi="Times New Roman"/>
          <w:sz w:val="20"/>
          <w:szCs w:val="20"/>
        </w:rPr>
        <w:tab/>
        <w:t>Considering the current absence of an antitrust law, the Argentine Government fixed some antitrust requirements and constrained REPSOL to dispose of 4% of the countryÕs total capacity of refining and to terminate (at its expiration) natural gas sale agreements equaling 15% of the local market. [Please see article below]</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As a consequence of the take over, all YPFÕs former employees will now be represented by the Private Oil and Gas Argentine Union, a national organization that represents workers for the private companies of the oil and gas industry. In the past, when YPF was a state-owned company and though regulated by specific legal rules, its employees were not represented by any specific union.</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 xml:space="preserve">It is believed REPSOL plans to add to YPF its other properties held in Argentina (including 66.01% of ASTRA). It is also rumored that the Spanish company would split YPF into three different companies: (i) Production and Exploration, (ii) Products and (iii) Chemistry and Petrochemistry. </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No matter what commercial policies are finally followed, at the end of the day REPSOL Ð YPF will become the most powerful holding in Argentina, with an approximately US$ 20 billions turnover.</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Proven reserves for the new company exceed 4 billion-barrel equivalents and production and refining capacity are more than 1 MM barrel equivalents and 1.2 MM barrels per day, respectively. REPSOL's President Alfonso Cortina stated in his first meeting with the press after the public share offering was finalized, the merger was an ideal blend of "REPSOL's management and know-how downstream with YPF's management and know-how upstream."</w:t>
      </w:r>
    </w:p>
    <w:p>
      <w:pPr>
        <w:pStyle w:val="Normal"/>
        <w:rPr/>
      </w:pPr>
      <w:r>
        <w:rPr>
          <w:rFonts w:eastAsia="Times New Roman" w:cs="Times New Roman" w:ascii="Times New Roman" w:hAnsi="Times New Roman"/>
          <w:sz w:val="20"/>
          <w:szCs w:val="20"/>
        </w:rPr>
        <w:tab/>
        <w:t>However, the Argentine Government will continue to be involved in the course of YPFÕs business through its "Golden Share". This special share entitles the Argentine Government to appoint one director and grants veto rights in some key issues.</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 xml:space="preserve">Now that the two companies have merged, RESPOL-YPF is a true giant in Argentina, accounting for 47% of the country's total refining capacity and service stations. </w:t>
      </w:r>
    </w:p>
    <w:p>
      <w:pPr>
        <w:pStyle w:val="Normal"/>
        <w:rPr/>
      </w:pPr>
      <w:r>
        <w:rPr>
          <w:rFonts w:eastAsia="Times New Roman" w:cs="Times New Roman" w:ascii="Times New Roman" w:hAnsi="Times New Roman"/>
          <w:sz w:val="20"/>
          <w:szCs w:val="20"/>
        </w:rPr>
        <w:tab/>
        <w:t>RESPOL-YPF plans to invest US$ 11.8 billions in the period 1999-2002, 40% of which will be dedicated to exploration and production. That means the human and technological resources, the culture and the name YPF built up in the years prior to the merger, will figure prominently in the company's expansion.</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Arial" w:cs="Arial" w:ascii="Arial" w:hAnsi="Arial"/>
          <w:sz w:val="20"/>
          <w:szCs w:val="20"/>
          <w:u w:val="single"/>
        </w:rPr>
        <w:t>LEGISLATION UPDATE</w:t>
      </w:r>
    </w:p>
    <w:p>
      <w:pPr>
        <w:pStyle w:val="Normal"/>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t>New Transfer Pricing Rules</w:t>
      </w:r>
    </w:p>
    <w:p>
      <w:pPr>
        <w:pStyle w:val="Normal"/>
        <w:rPr>
          <w:rFonts w:ascii="Times New Roman" w:hAnsi="Times New Roman" w:eastAsia="Times New Roman" w:cs="Times New Roman"/>
          <w:sz w:val="20"/>
          <w:szCs w:val="20"/>
        </w:rPr>
      </w:pPr>
      <w:r>
        <w:rPr>
          <w:rFonts w:eastAsia="Times New Roman" w:cs="Times New Roman" w:ascii="Times New Roman" w:hAnsi="Times New Roman"/>
          <w:b/>
          <w:bCs/>
        </w:rPr>
        <w:t>Law No. 25,036</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The "Normal Market Price Among Independent Parties" principle (the "Principle") had been incorporated to ArgentineÕs tax law in the early Ô40s. The Principle can also be found in the rules of the local tax law, value added tax law, custom rules, treaties on double taxation, and the criminal tax law.</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As the local economy has, until few years ago, been controlled, over and under-invoicing have been focused mostly on aspects related to exchange and duties, but not on tax matters. Currently, with a free market economy policy, the lack of a proper tax legislation in this respect has acquired a relevance not foreseen before.</w:t>
      </w:r>
    </w:p>
    <w:p>
      <w:pPr>
        <w:pStyle w:val="Normal"/>
        <w:rPr/>
      </w:pPr>
      <w:r>
        <w:rPr>
          <w:rFonts w:eastAsia="Times New Roman" w:cs="Times New Roman" w:ascii="Times New Roman" w:hAnsi="Times New Roman"/>
          <w:sz w:val="20"/>
          <w:szCs w:val="20"/>
        </w:rPr>
        <w:tab/>
        <w:t xml:space="preserve">Law No. 25,063 (the "Tax Reform Law"), applicable as from January 1, 1999, accepts the Principle and regulates its application.  The Tax Reform Law regulates those incomes from Argentine or foreign sources derived from the export and import of goods, though establishing the normal market price among independent parties. The Principle is also included when regulating services rendered between local companies of foreign capital and their parent companies. The Tax Reform Law also envisages the application of the Principle when referring to incomes from foreign sources obtained by Argentine residents. In this last case, the principle of services adjusted to the normal practices of the market among independent parties must be applied to the relations between the local resident and its permanent facilities abroad, or by the latter with other permanent facilities of the same owner located in other countries. This procedure is also applicable to the operations carried out abroad by Argentine companies.  </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b/>
          <w:bCs/>
        </w:rPr>
      </w:pPr>
      <w:r>
        <w:rPr>
          <w:rFonts w:eastAsia="Times New Roman" w:cs="Times New Roman" w:ascii="Times New Roman" w:hAnsi="Times New Roman"/>
          <w:b/>
          <w:bCs/>
        </w:rPr>
        <w:t>Antitrust Law No. 25,156</w:t>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The main features of the Law are as follows:</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 FORBIDDEN ACTS AND CONDUCTS.</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The Law defines antitrust behavior as the</w:t>
      </w:r>
    </w:p>
    <w:p>
      <w:pPr>
        <w:pStyle w:val="Normal"/>
        <w:rPr/>
      </w:pPr>
      <w:r>
        <w:rPr>
          <w:rFonts w:eastAsia="Times New Roman" w:cs="Times New Roman" w:ascii="Times New Roman" w:hAnsi="Times New Roman"/>
          <w:sz w:val="20"/>
          <w:szCs w:val="20"/>
        </w:rPr>
        <w:t>conduct or act, in whatever way evidenced, related to the production and exchange of goods and services, which are aimed to limit, restraint, false or distort trade or access to the market, or that constitute an abuse of the dominant position within a market, that could damage the collective economic interest. Also, the achievement of significant competitive benefits through a breach of law, declared by administrative act or judgment, shall be as well prohibited, provided that the before-mentioned circumstances are verified.  Moreover and notwithstanding the characteristics specified to define an antitrust behavior, the Law gives a broad itemization of restrictive practices.</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 SUBJECTS. The Law refers to every individual or company, carrying out economic activities in Argentina or outside this country but when their activity affects the local market.</w:t>
      </w:r>
    </w:p>
    <w:p>
      <w:pPr>
        <w:pStyle w:val="Normal"/>
        <w:rPr/>
      </w:pPr>
      <w:r>
        <w:rPr>
          <w:rFonts w:eastAsia="Times New Roman" w:cs="Times New Roman" w:ascii="Times New Roman" w:hAnsi="Times New Roman"/>
          <w:sz w:val="20"/>
          <w:szCs w:val="20"/>
        </w:rPr>
        <w:t>¥ DOMINANT POSITION. One or more companies are deemed to have a dominant position when, regarding a special good or service, they are the sole supplier or demander within the local market, or in one or several parts of the world or, even not being the only one, are not subject to substantial competition, or are in a position that enables them to impair the economic feasibility of a competitor or participant of the market.</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 ECONOMIC CONCENTRATION. Economic concentrations whose purpose is or could be to diminish, restraint or distort competition to the detriment of the collective economic interest are prohibited. As a consequence of this, when the business volume exceeds $ 200 MM within the country or $ 2,500 MM in a worldwide basis, a notification must be served to the Antitrust Tribunal for examination and further authorization or denial.</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 ANTITRUST TRIBUNAL. Integrated by seven members (at least two of them being lawyers and two economists, all of them with a minimum of five years of expertise). It shall be a self-financing entity under the Ministry of Economy and Public Works whose principal role shall be to control the application of the law. Its members shall be designated by the Federal Executive Power from a background public bid, and shall remain in its function for six years.</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 ANTITRUST PROCEDURES. Any individual or company whether public or private, may initiate the procedures established by the Law for the protection of trade.</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LEGAL REMEDIES AND PENALTIES. The Antitrust Tribunal is entitled to impose conditions and order the cessation of the detrimental activity and to impose fines from US$ 10,000 to US$ 150MM </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b/>
          <w:bCs/>
          <w:sz w:val="20"/>
          <w:szCs w:val="20"/>
        </w:rPr>
        <w:t>Y2K</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RESOLUTION NO. 383/99, published in the Official Gazette on July 21, 1999 is related to Y2K. Companies that are holders of exploration permits, exploitation concessions, transportation concessions through its operators; refineries, producing companies, storage and/or dealers of crude oil and/or its by-products companies are requested to provide to the Undersecretariat of Fuels the following information: (i) the situation and contingency plans, changes and tests carried out due to the millennium crisis; (ii) an update of the progress of the tests and changes of the contingency plans; (iii) the preliminary contingency plans to confront future problems. The reports shall be certified by an external auditor, and in case of non-compliance the provisions of Articles 87 (e.i. financial fines) and Article 80 (expiration of concession) of Hydrocarbons Law No. 17,319, could be applied.</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b/>
          <w:bCs/>
        </w:rPr>
        <w:t>Custom Registry</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pPr>
      <w:r>
        <w:rPr>
          <w:rFonts w:eastAsia="Times New Roman" w:cs="Times New Roman" w:ascii="Times New Roman" w:hAnsi="Times New Roman"/>
          <w:sz w:val="20"/>
          <w:szCs w:val="20"/>
        </w:rPr>
        <w:tab/>
        <w:t>RESOLUTION NO. 588/99, published in the Official Gazette on May 18, 1999, sets forth that  operators of gas pipelines, duly authorized by the Enforcement Authority, should be registered with the National Custom Bureau ("Direcci—n Nacional de Aduanas") as "Customs Transportation Agents", assuming the responsibilities and obligations foreseen by the Custom Law in relation to commercial assistance, custom brokers and import or export of goods.</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The Custom Transportation Agents who transport natural gas through pipelines should install at all the delivery and reception points, measurement equipment of volume and heating value of the gas injected or extracted from such pipelines.</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b/>
          <w:bCs/>
        </w:rPr>
        <w:t>Fiscal Incentive</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RESOLUTION NO. 192/99, published in the Official Gazette on April 21, 1999, and related to Decree No. 262 that established a fiscal incentive for the activities of oil companies. Its purpose is to encourage the exploitation of wells located in the provinces of Chubut and Santa Cruz by means of the so-called fiscal encouragement regime. The companies following this regime must file information and documentation related to investment of additional wells.</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tab/>
        <w:t>The expression "exploitation wells" would include primary and secondary wells as well as key wells for secondary exploitation.</w:t>
      </w:r>
    </w:p>
    <w:p>
      <w:pPr>
        <w:pStyle w:val="Normal"/>
        <w:rPr/>
      </w:pPr>
      <w:r>
        <w:rPr>
          <w:rFonts w:eastAsia="Times New Roman" w:cs="Times New Roman" w:ascii="Times New Roman" w:hAnsi="Times New Roman"/>
          <w:sz w:val="20"/>
          <w:szCs w:val="20"/>
        </w:rPr>
        <w:tab/>
        <w:t>This Resolution will cover all future activities carried out within exploitation concessions, in the current year or the first quarter of the year 2000, by incorporating new drilling programs or equipment, when the technical and economical exploitation conditions allow  to do so.</w: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sectPr>
          <w:type w:val="continuous"/>
          <w:pgSz w:w="11906" w:h="16838"/>
          <w:pgMar w:left="1797" w:right="1797" w:gutter="0" w:header="720" w:top="1440" w:footer="720" w:bottom="1440"/>
          <w:cols w:num="2" w:space="720" w:equalWidth="true" w:sep="false"/>
          <w:formProt w:val="false"/>
          <w:textDirection w:val="lrTb"/>
        </w:sectPr>
      </w:pPr>
    </w:p>
    <w:p>
      <w:pPr>
        <w:pStyle w:val="Normal"/>
        <w:rPr>
          <w:rFonts w:ascii="Times New Roman" w:hAnsi="Times New Roman" w:eastAsia="Times New Roman" w:cs="Times New Roman"/>
          <w:b/>
          <w:bCs/>
          <w:sz w:val="18"/>
          <w:szCs w:val="18"/>
        </w:rPr>
      </w:pPr>
      <w:r>
        <w:rPr>
          <w:rFonts w:eastAsia="Times New Roman" w:cs="Times New Roman" w:ascii="Times New Roman" w:hAnsi="Times New Roman"/>
          <w:b/>
          <w:bCs/>
          <w:sz w:val="18"/>
          <w:szCs w:val="18"/>
        </w:rPr>
      </w:r>
    </w:p>
    <w:p>
      <w:pPr>
        <w:pStyle w:val="Normal"/>
        <w:rPr>
          <w:rFonts w:ascii="Times New Roman" w:hAnsi="Times New Roman" w:eastAsia="Times New Roman" w:cs="Times New Roman"/>
          <w:b/>
          <w:bCs/>
          <w:sz w:val="18"/>
          <w:szCs w:val="18"/>
        </w:rPr>
      </w:pPr>
      <w:r>
        <w:rPr>
          <w:rFonts w:eastAsia="Times New Roman" w:cs="Times New Roman" w:ascii="Times New Roman" w:hAnsi="Times New Roman"/>
          <w:b/>
          <w:bCs/>
          <w:sz w:val="18"/>
          <w:szCs w:val="18"/>
        </w:rPr>
      </w:r>
    </w:p>
    <w:p>
      <w:pPr>
        <w:pStyle w:val="Normal"/>
        <w:rPr>
          <w:rFonts w:ascii="Times New Roman" w:hAnsi="Times New Roman" w:eastAsia="Times New Roman" w:cs="Times New Roman"/>
          <w:b/>
          <w:bCs/>
          <w:sz w:val="18"/>
          <w:szCs w:val="18"/>
        </w:rPr>
      </w:pPr>
      <w:r>
        <w:rPr>
          <w:rFonts w:eastAsia="Times New Roman" w:cs="Times New Roman" w:ascii="Times New Roman" w:hAnsi="Times New Roman"/>
          <w:b/>
          <w:bCs/>
          <w:sz w:val="18"/>
          <w:szCs w:val="18"/>
        </w:rPr>
      </w:r>
    </w:p>
    <w:p>
      <w:pPr>
        <w:pStyle w:val="Normal"/>
        <w:rPr>
          <w:rFonts w:ascii="Times New Roman" w:hAnsi="Times New Roman" w:eastAsia="Times New Roman" w:cs="Times New Roman"/>
          <w:b/>
          <w:bCs/>
          <w:sz w:val="18"/>
          <w:szCs w:val="18"/>
        </w:rPr>
      </w:pPr>
      <w:r>
        <w:rPr>
          <w:rFonts w:eastAsia="Times New Roman" w:cs="Times New Roman" w:ascii="Times New Roman" w:hAnsi="Times New Roman"/>
          <w:b/>
          <w:bCs/>
          <w:sz w:val="18"/>
          <w:szCs w:val="18"/>
        </w:rPr>
      </w:r>
    </w:p>
    <w:p>
      <w:pPr>
        <w:pStyle w:val="Normal"/>
        <w:rPr>
          <w:rFonts w:ascii="Times New Roman" w:hAnsi="Times New Roman" w:eastAsia="Times New Roman" w:cs="Times New Roman"/>
          <w:sz w:val="18"/>
          <w:szCs w:val="18"/>
        </w:rPr>
      </w:pPr>
      <w:r>
        <w:rPr>
          <w:rFonts w:eastAsia="Times New Roman" w:cs="Times New Roman" w:ascii="Times New Roman" w:hAnsi="Times New Roman"/>
          <w:b/>
          <w:bCs/>
          <w:sz w:val="18"/>
          <w:szCs w:val="18"/>
        </w:rPr>
        <w:t>Note:</w:t>
      </w:r>
    </w:p>
    <w:p>
      <w:pPr>
        <w:pStyle w:val="Normal"/>
        <w:rPr/>
      </w:pPr>
      <w:r>
        <w:rPr>
          <w:rFonts w:eastAsia="Times New Roman" w:cs="Times New Roman" w:ascii="Times New Roman" w:hAnsi="Times New Roman"/>
          <w:sz w:val="18"/>
          <w:szCs w:val="18"/>
        </w:rPr>
        <w:t xml:space="preserve">MN&amp;A Bulletin is a summary of industrial information of concern to our clients and the business persons and their advisors. The articles included in this bulletin are of a general nature, and are not meant as legal opinions. We will be pleased to discuss the possible legal effects of these matters in specific situations. </w:t>
      </w:r>
    </w:p>
    <w:p>
      <w:pPr>
        <w:pStyle w:val="Normal"/>
        <w:rPr/>
      </w:pPr>
      <w:r>
        <w:rPr>
          <w:rFonts w:eastAsia="Times New Roman" w:cs="Times New Roman" w:ascii="Times New Roman" w:hAnsi="Times New Roman"/>
          <w:sz w:val="18"/>
          <w:szCs w:val="18"/>
        </w:rPr>
        <w:t xml:space="preserve">Your comments and suggestions regarding the bulletin are most welcome and should be directed to: </w:t>
      </w:r>
    </w:p>
    <w:p>
      <w:pPr>
        <w:pStyle w:val="Normal"/>
        <w:rPr>
          <w:rFonts w:ascii="Times New Roman" w:hAnsi="Times New Roman" w:eastAsia="Times New Roman" w:cs="Times New Roman"/>
          <w:sz w:val="18"/>
          <w:szCs w:val="18"/>
        </w:rPr>
      </w:pPr>
      <w:r>
        <w:rPr>
          <w:rFonts w:eastAsia="Times New Roman" w:cs="Times New Roman" w:ascii="Times New Roman" w:hAnsi="Times New Roman"/>
          <w:sz w:val="18"/>
          <w:szCs w:val="18"/>
        </w:rPr>
        <w:t>The editor</w:t>
      </w:r>
    </w:p>
    <w:sectPr>
      <w:type w:val="continuous"/>
      <w:pgSz w:w="11906" w:h="16838"/>
      <w:pgMar w:left="1797" w:right="1797" w:gutter="0" w:header="720" w:top="1440" w:footer="720" w:bottom="1440"/>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 York">
    <w:altName w:val="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mc:AlternateContent>
        <mc:Choice Requires="wps">
          <w:drawing>
            <wp:anchor behindDoc="0" distT="0" distB="0" distL="0" distR="0" simplePos="0" locked="0" layoutInCell="0" allowOverlap="1" relativeHeight="19">
              <wp:simplePos x="0" y="0"/>
              <wp:positionH relativeFrom="page">
                <wp:posOffset>0</wp:posOffset>
              </wp:positionH>
              <wp:positionV relativeFrom="page">
                <wp:posOffset>9918700</wp:posOffset>
              </wp:positionV>
              <wp:extent cx="7844790" cy="0"/>
              <wp:effectExtent l="19050" t="19050" r="19050" b="19050"/>
              <wp:wrapNone/>
              <wp:docPr id="4" name=""/>
              <a:graphic xmlns:a="http://schemas.openxmlformats.org/drawingml/2006/main">
                <a:graphicData uri="http://schemas.microsoft.com/office/word/2010/wordprocessingShape">
                  <wps:wsp>
                    <wps:cNvSpPr/>
                    <wps:spPr>
                      <a:xfrm>
                        <a:off x="0" y="0"/>
                        <a:ext cx="7844760" cy="0"/>
                      </a:xfrm>
                      <a:prstGeom prst="line">
                        <a:avLst/>
                      </a:prstGeom>
                      <a:ln w="38160">
                        <a:solidFill>
                          <a:srgbClr val="0000ff"/>
                        </a:solidFill>
                        <a:round/>
                      </a:ln>
                    </wps:spPr>
                    <wps:style>
                      <a:lnRef idx="0"/>
                      <a:fillRef idx="0"/>
                      <a:effectRef idx="0"/>
                      <a:fontRef idx="minor"/>
                    </wps:style>
                    <wps:bodyPr/>
                  </wps:wsp>
                </a:graphicData>
              </a:graphic>
            </wp:anchor>
          </w:drawing>
        </mc:Choice>
        <mc:Fallback>
          <w:pict>
            <v:line id="shape_0" from="0pt,781pt" to="617.65pt,781pt" stroked="t" o:allowincell="f" style="position:absolute;mso-position-horizontal-relative:page;mso-position-vertical-relative:page">
              <v:stroke color="blue" weight="38160" joinstyle="round" endcap="flat"/>
              <v:fill o:detectmouseclick="t" on="false"/>
              <w10:wrap type="none"/>
            </v:line>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419" w:leader="none"/>
        <w:tab w:val="left" w:pos="4962" w:leader="none"/>
        <w:tab w:val="right" w:pos="8838" w:leader="none"/>
      </w:tabs>
      <w:rPr>
        <w:lang w:val="en-CA"/>
      </w:rPr>
    </w:pPr>
    <w:r>
      <w:rPr>
        <w:lang w:val="en-CA"/>
      </w:rPr>
      <w:drawing>
        <wp:inline distT="0" distB="0" distL="0" distR="0">
          <wp:extent cx="5269230" cy="998855"/>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1"/>
                  <a:stretch>
                    <a:fillRect/>
                  </a:stretch>
                </pic:blipFill>
                <pic:spPr bwMode="auto">
                  <a:xfrm>
                    <a:off x="0" y="0"/>
                    <a:ext cx="5269230" cy="998855"/>
                  </a:xfrm>
                  <a:prstGeom prst="rect">
                    <a:avLst/>
                  </a:prstGeom>
                  <a:noFill/>
                </pic:spPr>
              </pic:pic>
            </a:graphicData>
          </a:graphic>
        </wp:inline>
      </w:drawing>
    </w:r>
  </w:p>
  <w:p>
    <w:pPr>
      <w:pStyle w:val="Header"/>
      <w:tabs>
        <w:tab w:val="center" w:pos="4419" w:leader="none"/>
        <w:tab w:val="left" w:pos="4962" w:leader="none"/>
        <w:tab w:val="right" w:pos="8838"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noLeading/>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New York;Times New Roman" w:hAnsi="New York;Times New Roman" w:eastAsia="New York;Times New Roman" w:cs="New York;Times New Roman"/>
      <w:color w:val="auto"/>
      <w:sz w:val="24"/>
      <w:szCs w:val="24"/>
      <w:lang w:val="es-ES_tradnl"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eastAsia="Arial" w:cs="Arial"/>
      <w:b/>
      <w:bCs/>
      <w:kern w:val="2"/>
      <w:sz w:val="28"/>
      <w:szCs w:val="28"/>
    </w:rPr>
  </w:style>
  <w:style w:type="character" w:styleId="Fuentedeprrafopredeterminada">
    <w:name w:val="Fuente de párrafo predeterminada"/>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419" w:leader="none"/>
        <w:tab w:val="right" w:pos="8838" w:leader="none"/>
      </w:tabs>
    </w:pPr>
    <w:rPr/>
  </w:style>
  <w:style w:type="paragraph" w:styleId="Footer">
    <w:name w:val="footer"/>
    <w:basedOn w:val="Normal"/>
    <w:pPr>
      <w:tabs>
        <w:tab w:val="clear" w:pos="720"/>
        <w:tab w:val="center" w:pos="4419" w:leader="none"/>
        <w:tab w:val="right" w:pos="88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2.e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3.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1999-09-30T12:24:00Z</dcterms:created>
  <dc:creator>sws</dc:creator>
  <dc:description/>
  <dc:language>en-CA</dc:language>
  <cp:lastModifiedBy>Gabriel</cp:lastModifiedBy>
  <cp:lastPrinted>1999-09-30T11:52:00Z</cp:lastPrinted>
  <dcterms:modified xsi:type="dcterms:W3CDTF">1999-09-30T13:03:00Z</dcterms:modified>
  <cp:revision>4</cp:revision>
  <dc:subject/>
  <dc:title>issue22.doc</dc:title>
</cp:coreProperties>
</file>