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 xml:space="preserve">Israeli Telecommunications </w:t>
      </w:r>
    </w:p>
    <w:p>
      <w:pPr>
        <w:pStyle w:val="Normal"/>
        <w:spacing w:lineRule="auto" w:line="360"/>
        <w:rPr/>
      </w:pPr>
      <w:r>
        <w:rPr/>
      </w:r>
    </w:p>
    <w:p>
      <w:pPr>
        <w:pStyle w:val="Normal"/>
        <w:numPr>
          <w:ilvl w:val="0"/>
          <w:numId w:val="1"/>
        </w:numPr>
        <w:spacing w:lineRule="auto" w:line="360"/>
        <w:rPr>
          <w:b/>
        </w:rPr>
      </w:pPr>
      <w:r>
        <w:rPr>
          <w:b/>
        </w:rPr>
        <w:t>Background</w:t>
      </w:r>
    </w:p>
    <w:p>
      <w:pPr>
        <w:pStyle w:val="Normal"/>
        <w:numPr>
          <w:ilvl w:val="1"/>
          <w:numId w:val="1"/>
        </w:numPr>
        <w:spacing w:lineRule="auto" w:line="360"/>
        <w:rPr/>
      </w:pPr>
      <w:r>
        <w:rPr/>
        <w:t xml:space="preserve">The MoC (Ministry of Communication) is the sole regulator responsible for licensing and other regulatory matters. The MoC is divided into two committees; the Rosenne Committee advises on liberalization and the Grunau Committee supervises the fixed line tariff regulations. The MoC intends to establish an independent Regulatory Authority in 2001. </w:t>
      </w:r>
    </w:p>
    <w:p>
      <w:pPr>
        <w:pStyle w:val="Normal"/>
        <w:numPr>
          <w:ilvl w:val="1"/>
          <w:numId w:val="1"/>
        </w:numPr>
        <w:spacing w:lineRule="auto" w:line="360"/>
        <w:rPr/>
      </w:pPr>
      <w:r>
        <w:rPr/>
        <w:t xml:space="preserve">The Telecommunications Law of 1982 gave Bezeq the exclusive rights to provide communication services in Israel. The government still owns 54.6% of the Bezeq. Bezeq offers local, international, cellular, satellite and ISP services. </w:t>
      </w:r>
    </w:p>
    <w:p>
      <w:pPr>
        <w:pStyle w:val="Normal"/>
        <w:numPr>
          <w:ilvl w:val="0"/>
          <w:numId w:val="1"/>
        </w:numPr>
        <w:spacing w:lineRule="auto" w:line="360"/>
        <w:rPr>
          <w:b/>
        </w:rPr>
      </w:pPr>
      <w:r>
        <w:rPr>
          <w:b/>
        </w:rPr>
        <w:t>History</w:t>
      </w:r>
    </w:p>
    <w:p>
      <w:pPr>
        <w:pStyle w:val="Normal"/>
        <w:numPr>
          <w:ilvl w:val="1"/>
          <w:numId w:val="1"/>
        </w:numPr>
        <w:spacing w:lineRule="auto" w:line="360"/>
        <w:rPr/>
      </w:pPr>
      <w:r>
        <w:rPr/>
        <w:t>Bezeq created by the government</w:t>
      </w:r>
    </w:p>
    <w:p>
      <w:pPr>
        <w:pStyle w:val="Normal"/>
        <w:numPr>
          <w:ilvl w:val="1"/>
          <w:numId w:val="1"/>
        </w:numPr>
        <w:spacing w:lineRule="auto" w:line="360"/>
        <w:rPr/>
      </w:pPr>
      <w:r>
        <w:rPr/>
        <w:t xml:space="preserve">The first cellular license was awarded to Pelephone, a 50/50 joint venture between Bezeq &amp; Motorola, formed in 1986 after the BOT contract by Motorola. </w:t>
      </w:r>
    </w:p>
    <w:p>
      <w:pPr>
        <w:pStyle w:val="Normal"/>
        <w:numPr>
          <w:ilvl w:val="1"/>
          <w:numId w:val="1"/>
        </w:numPr>
        <w:spacing w:lineRule="auto" w:line="360"/>
        <w:rPr/>
      </w:pPr>
      <w:r>
        <w:rPr/>
        <w:t>2</w:t>
      </w:r>
      <w:r>
        <w:rPr>
          <w:vertAlign w:val="superscript"/>
        </w:rPr>
        <w:t>nd</w:t>
      </w:r>
      <w:r>
        <w:rPr/>
        <w:t xml:space="preserve"> mobile operator, Cellcom (Bellsouth and other investors) began offering TDMA (IS-136) service in the cellular market in 1994.</w:t>
      </w:r>
    </w:p>
    <w:p>
      <w:pPr>
        <w:pStyle w:val="Normal"/>
        <w:numPr>
          <w:ilvl w:val="1"/>
          <w:numId w:val="1"/>
        </w:numPr>
        <w:spacing w:lineRule="auto" w:line="360"/>
        <w:rPr/>
      </w:pPr>
      <w:r>
        <w:rPr/>
        <w:t>International competition began in 1997 with the formation of Barak ( Sprint, Deutsche Telecom and France Telecom) and Golden Line (Fishman Group, Telecom Italia &amp; Aurec). Since, these two operators have between them acquired 50% of the international business.</w:t>
      </w:r>
    </w:p>
    <w:p>
      <w:pPr>
        <w:pStyle w:val="Normal"/>
        <w:numPr>
          <w:ilvl w:val="1"/>
          <w:numId w:val="1"/>
        </w:numPr>
        <w:spacing w:lineRule="auto" w:line="360"/>
        <w:rPr/>
      </w:pPr>
      <w:r>
        <w:rPr/>
        <w:t>3</w:t>
      </w:r>
      <w:r>
        <w:rPr>
          <w:vertAlign w:val="superscript"/>
        </w:rPr>
        <w:t>rd</w:t>
      </w:r>
      <w:r>
        <w:rPr/>
        <w:t xml:space="preserve"> mobile operator – Partner-Orange (Hutchison Telecom and other investors) entered the market in 1998 offering GSM service in 900 MHz.</w:t>
      </w:r>
    </w:p>
    <w:p>
      <w:pPr>
        <w:pStyle w:val="Normal"/>
        <w:numPr>
          <w:ilvl w:val="1"/>
          <w:numId w:val="1"/>
        </w:numPr>
        <w:spacing w:lineRule="auto" w:line="360"/>
        <w:rPr/>
      </w:pPr>
      <w:r>
        <w:rPr/>
        <w:t>Liberalization of the domestic fixed market was planned for January 1999. This deadline was extended until June 1999 when the Telecommunications Law was amended to remove the section granting exclusivity to Bezeq.  However, as of today, no further licenses have been issued.  MoC hopes to issue tender for 3 companies to operate the domestic telecom market.</w:t>
      </w:r>
    </w:p>
    <w:p>
      <w:pPr>
        <w:pStyle w:val="Normal"/>
        <w:numPr>
          <w:ilvl w:val="1"/>
          <w:numId w:val="1"/>
        </w:numPr>
        <w:spacing w:lineRule="auto" w:line="360"/>
        <w:rPr/>
      </w:pPr>
      <w:r>
        <w:rPr/>
        <w:t xml:space="preserve">Government welcomes alternative carriers to the market, but maintains tight controlled competition.  The government will sell its remaining stake in Bezeq by early 2001. LMDS licenses will be issued in March 2001, five companies have shown an interest in bidding for these licenses; Barak, Golden Lines, Cellcom, Danke and Eurocom.   Furthermore, the MoC is under pressure from the cable companies, and the parties interested in LMDS, to restrict Bezeq’s ADSL roll-out until the new players are able to compete  with their own broadband products. </w:t>
      </w:r>
    </w:p>
    <w:p>
      <w:pPr>
        <w:pStyle w:val="Normal"/>
        <w:spacing w:lineRule="auto" w:line="360"/>
        <w:rPr>
          <w:b/>
        </w:rPr>
      </w:pPr>
      <w:r>
        <w:rPr>
          <w:b/>
        </w:rPr>
        <w:t>2. Licensing Framework</w:t>
      </w:r>
    </w:p>
    <w:p>
      <w:pPr>
        <w:pStyle w:val="Normal"/>
        <w:numPr>
          <w:ilvl w:val="1"/>
          <w:numId w:val="2"/>
        </w:numPr>
        <w:spacing w:lineRule="auto" w:line="360"/>
        <w:rPr/>
      </w:pPr>
      <w:r>
        <w:rPr/>
        <w:t>General Operating Licenses – facilities based operators.</w:t>
      </w:r>
    </w:p>
    <w:p>
      <w:pPr>
        <w:pStyle w:val="Normal"/>
        <w:numPr>
          <w:ilvl w:val="2"/>
          <w:numId w:val="2"/>
        </w:numPr>
        <w:spacing w:lineRule="auto" w:line="360"/>
        <w:rPr/>
      </w:pPr>
      <w:r>
        <w:rPr/>
        <w:t xml:space="preserve">Regulation based on principle of “managed competition.”  MoC is committed to promoting facilities based competition and does not support local loop unbundling (LLU) or co-location requirement for the existing operators, new operators are required to set up their own facilities.  </w:t>
      </w:r>
    </w:p>
    <w:p>
      <w:pPr>
        <w:pStyle w:val="Normal"/>
        <w:numPr>
          <w:ilvl w:val="2"/>
          <w:numId w:val="2"/>
        </w:numPr>
        <w:spacing w:lineRule="auto" w:line="360"/>
        <w:rPr/>
      </w:pPr>
      <w:r>
        <w:rPr/>
        <w:t>MoC discourages bundling of services</w:t>
      </w:r>
    </w:p>
    <w:p>
      <w:pPr>
        <w:pStyle w:val="Normal"/>
        <w:spacing w:lineRule="auto" w:line="360"/>
        <w:rPr/>
      </w:pPr>
      <w:r>
        <w:rPr/>
      </w:r>
    </w:p>
    <w:p>
      <w:pPr>
        <w:pStyle w:val="Normal"/>
        <w:numPr>
          <w:ilvl w:val="1"/>
          <w:numId w:val="2"/>
        </w:numPr>
        <w:spacing w:lineRule="auto" w:line="360"/>
        <w:rPr/>
      </w:pPr>
      <w:r>
        <w:rPr/>
        <w:t>Special Licenses – value-added licenses</w:t>
      </w:r>
    </w:p>
    <w:p>
      <w:pPr>
        <w:pStyle w:val="Normal"/>
        <w:numPr>
          <w:ilvl w:val="1"/>
          <w:numId w:val="2"/>
        </w:numPr>
        <w:spacing w:lineRule="auto" w:line="360"/>
        <w:rPr/>
      </w:pPr>
      <w:r>
        <w:rPr/>
        <w:t>There are 3 major regional CATV operators; Tevel, Golden Channel and MATAV Cables.</w:t>
      </w:r>
    </w:p>
    <w:p>
      <w:pPr>
        <w:pStyle w:val="Normal"/>
        <w:numPr>
          <w:ilvl w:val="1"/>
          <w:numId w:val="2"/>
        </w:numPr>
        <w:spacing w:lineRule="auto" w:line="360"/>
        <w:rPr/>
      </w:pPr>
      <w:r>
        <w:rPr/>
        <w:t>Competition is strong in the value added services and customer premise equipment market, but limited in international and cellular services.</w:t>
      </w:r>
    </w:p>
    <w:p>
      <w:pPr>
        <w:pStyle w:val="Normal"/>
        <w:spacing w:lineRule="auto" w:line="360"/>
        <w:ind w:start="360" w:end="0"/>
        <w:rPr/>
      </w:pPr>
      <w:r>
        <w:rPr/>
      </w:r>
    </w:p>
    <w:p>
      <w:pPr>
        <w:pStyle w:val="Normal"/>
        <w:numPr>
          <w:ilvl w:val="0"/>
          <w:numId w:val="3"/>
        </w:numPr>
        <w:spacing w:lineRule="auto" w:line="360"/>
        <w:rPr>
          <w:b/>
        </w:rPr>
      </w:pPr>
      <w:r>
        <w:rPr>
          <w:b/>
        </w:rPr>
        <w:t>Current Status</w:t>
      </w:r>
    </w:p>
    <w:p>
      <w:pPr>
        <w:pStyle w:val="Normal"/>
        <w:numPr>
          <w:ilvl w:val="1"/>
          <w:numId w:val="4"/>
        </w:numPr>
        <w:spacing w:lineRule="auto" w:line="360"/>
        <w:rPr/>
      </w:pPr>
      <w:r>
        <w:rPr/>
        <w:t>Small country with high penetration in the fixed line (48%) and mobile (60%) and CATV (70%)markets.</w:t>
      </w:r>
    </w:p>
    <w:p>
      <w:pPr>
        <w:pStyle w:val="Normal"/>
        <w:numPr>
          <w:ilvl w:val="1"/>
          <w:numId w:val="4"/>
        </w:numPr>
        <w:spacing w:lineRule="auto" w:line="360"/>
        <w:rPr/>
      </w:pPr>
      <w:r>
        <w:rPr/>
        <w:t xml:space="preserve">Bezeq is a highly efficient operator, but is subject to close regulatory scrutiny, which keeps tariffs very low by EU standards.  </w:t>
      </w:r>
    </w:p>
    <w:p>
      <w:pPr>
        <w:pStyle w:val="Normal"/>
        <w:numPr>
          <w:ilvl w:val="1"/>
          <w:numId w:val="4"/>
        </w:numPr>
        <w:spacing w:lineRule="auto" w:line="360"/>
        <w:rPr/>
      </w:pPr>
      <w:r>
        <w:rPr/>
        <w:t>Recent  auction of the 3G licenses</w:t>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Israeli_Licensing_Framework.doc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960"/>
        </w:tabs>
        <w:ind w:start="3960" w:hanging="1440"/>
      </w:pPr>
      <w:rPr/>
    </w:lvl>
    <w:lvl w:ilvl="8">
      <w:start w:val="1"/>
      <w:isLgl/>
      <w:numFmt w:val="decimal"/>
      <w:lvlText w:val="%1.%2.%3.%4.%5.%6.%7.%8.%9"/>
      <w:lvlJc w:val="start"/>
      <w:pPr>
        <w:tabs>
          <w:tab w:val="num" w:pos="4320"/>
        </w:tabs>
        <w:ind w:start="4320" w:hanging="1440"/>
      </w:pPr>
      <w:rPr/>
    </w:lvl>
  </w:abstractNum>
  <w:abstractNum w:abstractNumId="2">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3"/>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960"/>
        </w:tabs>
        <w:ind w:start="3960" w:hanging="1440"/>
      </w:pPr>
      <w:rPr/>
    </w:lvl>
    <w:lvl w:ilvl="8">
      <w:start w:val="1"/>
      <w:isLgl/>
      <w:numFmt w:val="decimal"/>
      <w:lvlText w:val="%1.%2.%3.%4.%5.%6.%7.%8.%9"/>
      <w:lvlJc w:val="start"/>
      <w:pPr>
        <w:tabs>
          <w:tab w:val="num" w:pos="4320"/>
        </w:tabs>
        <w:ind w:start="4320" w:hanging="1440"/>
      </w:pPr>
      <w:rPr/>
    </w:lvl>
  </w:abstractNum>
  <w:abstractNum w:abstractNumId="4">
    <w:lvl w:ilvl="0">
      <w:start w:val="1"/>
      <w:numFmt w:val="decimal"/>
      <w:lvlText w:val="%1"/>
      <w:lvlJc w:val="start"/>
      <w:pPr>
        <w:tabs>
          <w:tab w:val="num" w:pos="390"/>
        </w:tabs>
        <w:ind w:start="390" w:hanging="390"/>
      </w:pPr>
      <w:rPr/>
    </w:lvl>
    <w:lvl w:ilvl="1">
      <w:start w:val="1"/>
      <w:numFmt w:val="decimal"/>
      <w:lvlText w:val="%1.%2"/>
      <w:lvlJc w:val="start"/>
      <w:pPr>
        <w:tabs>
          <w:tab w:val="num" w:pos="750"/>
        </w:tabs>
        <w:ind w:start="750" w:hanging="39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2000-12-04T19:29:00Z</dcterms:created>
  <dc:creator>xi_xi</dc:creator>
  <dc:description/>
  <dc:language>en-CA</dc:language>
  <cp:lastModifiedBy>xi_xi</cp:lastModifiedBy>
  <dcterms:modified xsi:type="dcterms:W3CDTF">2001-01-08T21:44:00Z</dcterms:modified>
  <cp:revision>4</cp:revision>
  <dc:subject/>
  <dc:title>Canadian Licensing Framework</dc:title>
</cp:coreProperties>
</file>