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Swaption</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pPr>
      <w:r>
        <w:rPr>
          <w:sz w:val="22"/>
        </w:rPr>
        <w:tab/>
        <w:t xml:space="preserve">The purpose of this letter is to confirm the terms and conditions of the Transaction entered into between us pursuant to a telephone conversation between </w:t>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r>
        <w:rPr>
          <w:sz w:val="22"/>
        </w:rPr>
        <w:t xml:space="preserve"> and </w:t>
      </w:r>
      <w:r>
        <w:rPr>
          <w:rFonts w:eastAsia="Symbol" w:cs="Symbol" w:ascii="Symbol" w:hAnsi="Symbol"/>
          <w:sz w:val="22"/>
        </w:rPr>
        <w:sym w:font="Symbol" w:char="f03c"/>
        <w:sym w:font="Symbol" w:char="f03c"/>
      </w:r>
      <w:r>
        <w:rPr>
          <w:sz w:val="22"/>
        </w:rPr>
        <w:t>Originator</w:t>
      </w:r>
      <w:r>
        <w:rPr>
          <w:rFonts w:eastAsia="Symbol" w:cs="Symbol" w:ascii="Symbol" w:hAnsi="Symbol"/>
          <w:sz w:val="22"/>
        </w:rPr>
        <w:sym w:font="Symbol" w:char="f03e"/>
        <w:sym w:font="Symbol" w:char="f03e"/>
      </w:r>
      <w:r>
        <w:rPr>
          <w:sz w:val="22"/>
        </w:rPr>
        <w:t xml:space="preserve">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pPr>
      <w:r>
        <w:rPr>
          <w:sz w:val="22"/>
        </w:rPr>
        <w:tab/>
        <w:t xml:space="preserve">1.  This Confirmation supplements, forms part of, and is subject to, the ISDA Master Agreement dated as of </w:t>
      </w:r>
      <w:r>
        <w:rPr>
          <w:rFonts w:eastAsia="Symbol" w:cs="Symbol" w:ascii="Symbol" w:hAnsi="Symbol"/>
          <w:sz w:val="22"/>
        </w:rPr>
        <w:sym w:font="Symbol" w:char="f03c"/>
        <w:sym w:font="Symbol" w:char="f03c"/>
      </w:r>
      <w:r>
        <w:rPr>
          <w:sz w:val="22"/>
        </w:rPr>
        <w:t>FinancialMasterDate</w:t>
      </w:r>
      <w:r>
        <w:rPr>
          <w:rFonts w:eastAsia="Symbol" w:cs="Symbol" w:ascii="Symbol" w:hAnsi="Symbol"/>
          <w:sz w:val="22"/>
        </w:rPr>
        <w:sym w:font="Symbol" w:char="f03e"/>
        <w:sym w:font="Symbol" w:char="f03e"/>
      </w:r>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(a)  [The particular Transaction to which this Confirmation relates is an Option, the terms of which are as follows:]</w:t>
      </w:r>
      <w:r>
        <w:rPr>
          <w:sz w:val="22"/>
          <w:vertAlign w:val="superscript"/>
        </w:rPr>
        <w:t>1</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Trade Date:</w:t>
        <w:tab/>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Option Style:</w:t>
        <w:tab/>
        <w:tab/>
        <w:t>&lt;&lt;American/European/Asian&gt;&gt;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Option Type:</w:t>
        <w:tab/>
        <w:tab/>
        <w:t>Swaption</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Seller:</w:t>
        <w:tab/>
        <w:tab/>
        <w:t>&lt;&lt;PartyA/B&gt;&gt;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Buyer:</w:t>
        <w:tab/>
        <w:tab/>
        <w:t>&lt;&lt;PartyB/A&gt;&gt;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pPr>
      <w:r>
        <w:rPr>
          <w:sz w:val="22"/>
        </w:rPr>
        <w:tab/>
      </w:r>
      <w:r>
        <w:rPr>
          <w:sz w:val="22"/>
          <w:vertAlign w:val="superscript"/>
        </w:rPr>
        <w:t>1</w:t>
      </w:r>
      <w:r>
        <w:rPr>
          <w:sz w:val="22"/>
        </w:rPr>
        <w:t>Total Premium:</w:t>
        <w:tab/>
        <w:tab/>
        <w:t>&lt;&lt;PremiumAmt&gt;&gt;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pPr>
      <w:r>
        <w:rPr>
          <w:sz w:val="22"/>
        </w:rPr>
        <w:tab/>
      </w:r>
      <w:r>
        <w:rPr>
          <w:sz w:val="22"/>
          <w:vertAlign w:val="superscript"/>
        </w:rPr>
        <w:t>1</w:t>
      </w:r>
      <w:r>
        <w:rPr>
          <w:sz w:val="22"/>
        </w:rPr>
        <w:t>Premium Payment Date(s):</w:t>
        <w:tab/>
        <w:t>&lt;&lt; (DATE) [, subject to adjustment in accordance with the [Following/Modified Following/Nearest/Preceding] Business Day Convention]&gt;&gt;</w:t>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720" w:leader="none"/>
          <w:tab w:val="left" w:pos="0" w:leader="none"/>
          <w:tab w:val="left" w:pos="2160" w:leader="none"/>
          <w:tab w:val="left" w:pos="6480" w:leader="none"/>
        </w:tabs>
        <w:ind w:end="-630"/>
        <w:rPr/>
      </w:pPr>
      <w:r>
        <w:rPr>
          <w:sz w:val="16"/>
          <w:vertAlign w:val="superscript"/>
        </w:rPr>
        <w:t xml:space="preserve">1 </w:t>
      </w:r>
      <w:r>
        <w:rPr>
          <w:sz w:val="16"/>
        </w:rPr>
        <w:t>If no premium stated, then need to insert "consideration language" in preamble:  "In consideration of the parties' agreement to enter into &lt;&lt;EnronEntityName&gt;&gt; Contract No. &lt;&lt;OtherDealNumber&gt;&gt;, the particular Transaction to which this Confirmation relates is an Option, the terms of which are as follows:"</w:t>
        <w:tab/>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tab/>
        <w:t>Physical/Contract Settlement:</w:t>
        <w:tab/>
        <w:t>&lt;&lt;Applicable/Inapplicable&gt;&gt;</w:t>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630"/>
        <w:jc w:val="start"/>
        <w:rPr>
          <w:sz w:val="22"/>
        </w:rPr>
      </w:pPr>
      <w:r>
        <w:rPr>
          <w:sz w:val="22"/>
        </w:rPr>
        <w:tab/>
        <w:t>Cash Settlement Terms:</w:t>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Cash Settlement:</w:t>
        <w:tab/>
        <w:t>&lt;&lt;Applicable/Inapplicable&gt;&gt;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Settlement Date:</w:t>
        <w:tab/>
        <w:t>[___Business Days following the Exercise Date]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Cash Settlement Amount:</w:t>
        <w:tab/>
        <w:t>[Specify means for determination]</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sz w:val="22"/>
        </w:rPr>
      </w:pPr>
      <w:r>
        <w:rPr>
          <w:sz w:val="22"/>
        </w:rPr>
        <w:tab/>
        <w:t>Procedure for Exercise:</w:t>
        <w:tab/>
      </w:r>
    </w:p>
    <w:p>
      <w:pPr>
        <w:pStyle w:val="BodyTextIndent"/>
        <w:tabs>
          <w:tab w:val="left" w:pos="9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rPr>
        <w:tab/>
        <w:tab/>
        <w:t>Exercise Period:</w:t>
        <w:tab/>
        <w:t>&lt;&lt;[From and including __________ to and including ______________]</w:t>
      </w:r>
      <w:r>
        <w:rPr>
          <w:sz w:val="22"/>
          <w:vertAlign w:val="superscript"/>
        </w:rPr>
        <w:t>2</w:t>
      </w:r>
      <w:r>
        <w:rPr>
          <w:sz w:val="22"/>
        </w:rPr>
        <w:t xml:space="preserve"> between _____ a.m. and _____ p.m. (local time in ___________).</w:t>
      </w:r>
      <w:r>
        <w:rPr>
          <w:sz w:val="22"/>
          <w:vertAlign w:val="superscript"/>
        </w:rPr>
        <w:t>3</w:t>
      </w:r>
      <w:r>
        <w:rPr>
          <w:sz w:val="22"/>
        </w:rPr>
        <w:t>&gt;&gt;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pPr>
      <w:r>
        <w:rPr>
          <w:sz w:val="22"/>
          <w:vertAlign w:val="superscript"/>
        </w:rPr>
        <w:tab/>
        <w:tab/>
      </w:r>
      <w:r>
        <w:rPr>
          <w:sz w:val="22"/>
        </w:rPr>
        <w:t>Expiration Date:</w:t>
      </w:r>
      <w:r>
        <w:rPr>
          <w:sz w:val="22"/>
          <w:vertAlign w:val="superscript"/>
        </w:rPr>
        <w:t>4</w:t>
      </w:r>
      <w:r>
        <w:rPr>
          <w:sz w:val="22"/>
        </w:rPr>
        <w:tab/>
        <w:t>&lt;&lt;ExpirationDate&gt;&gt;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Automatic Exercise:</w:t>
        <w:tab/>
        <w:t>&lt;&lt;Applicable/Inapplicable&gt;&gt;</w:t>
        <w:tab/>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Written Confirmation:</w:t>
        <w:tab/>
        <w:t>&lt;&lt;Applicable/Inapplicable&gt;&gt;</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 xml:space="preserve">Seller's telephone, telex or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 xml:space="preserve">facsimile number for purposes </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tab/>
        <w:tab/>
        <w:t>of giving notice: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numPr>
          <w:ilvl w:val="0"/>
          <w:numId w:val="2"/>
        </w:numPr>
        <w:tabs>
          <w:tab w:val="left" w:pos="90" w:leader="none"/>
          <w:tab w:val="left" w:pos="810" w:leader="none"/>
          <w:tab w:val="left" w:pos="2160" w:leader="none"/>
          <w:tab w:val="left" w:pos="4140" w:leader="none"/>
          <w:tab w:val="left" w:pos="6480" w:leader="none"/>
        </w:tabs>
        <w:ind w:hanging="375" w:start="465" w:end="-630"/>
        <w:jc w:val="start"/>
        <w:rPr>
          <w:sz w:val="22"/>
        </w:rPr>
      </w:pPr>
      <w:r>
        <w:rPr>
          <w:sz w:val="22"/>
        </w:rPr>
        <w:t>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per Calculation Period:</w:t>
      </w:r>
      <w:r>
        <w:rPr>
          <w:sz w:val="22"/>
          <w:vertAlign w:val="superscript"/>
        </w:rPr>
        <w:t>5</w:t>
        <w:tab/>
      </w:r>
      <w:r>
        <w:rPr>
          <w:sz w:val="22"/>
        </w:rPr>
        <w:t xml:space="preserve"> </w:t>
        <w:tab/>
      </w:r>
      <w:r>
        <w:rPr>
          <w:rFonts w:eastAsia="Symbol" w:cs="Symbol" w:ascii="Symbol" w:hAnsi="Symbol"/>
          <w:sz w:val="22"/>
        </w:rPr>
        <w:sym w:font="Symbol" w:char="f03c"/>
        <w:sym w:font="Symbol" w:char="f03c"/>
      </w:r>
      <w:r>
        <w:rPr>
          <w:sz w:val="22"/>
        </w:rPr>
        <w:t>QtyPerPeriod</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Commodity:</w:t>
        <w:tab/>
        <w:tab/>
        <w:t xml:space="preserve"> </w:t>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720" w:start="0" w:end="-630"/>
        <w:rPr>
          <w:sz w:val="22"/>
        </w:rPr>
      </w:pPr>
      <w:r>
        <w:rPr>
          <w:sz w:val="22"/>
        </w:rPr>
        <w:tab/>
        <w:t>Effective Date:</w:t>
        <w:tab/>
        <w:tab/>
        <w:t>&lt;&lt;TransStartDate&gt;&gt;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Termination Date:</w:t>
        <w:tab/>
        <w:tab/>
        <w:t>&lt;&lt;TransStopDate&gt;&gt;</w:t>
      </w:r>
    </w:p>
    <w:p>
      <w:pPr>
        <w:pStyle w:val="BodyTextIndent"/>
        <w:tabs>
          <w:tab w:val="left" w:pos="90" w:leader="none"/>
          <w:tab w:val="left" w:pos="2160" w:leader="none"/>
          <w:tab w:val="left" w:pos="4140" w:leader="none"/>
          <w:tab w:val="left" w:pos="6480" w:leader="none"/>
        </w:tabs>
        <w:ind w:hanging="900" w:start="0" w:end="-630"/>
        <w:rPr>
          <w:sz w:val="22"/>
        </w:rPr>
      </w:pPr>
      <w:r>
        <w:rPr>
          <w:sz w:val="22"/>
        </w:rPr>
      </w:r>
    </w:p>
    <w:p>
      <w:pPr>
        <w:pStyle w:val="BodyTextIndent"/>
        <w:tabs>
          <w:tab w:val="left" w:pos="90" w:leader="none"/>
          <w:tab w:val="left" w:pos="2160" w:leader="none"/>
          <w:tab w:val="left" w:pos="4140" w:leader="none"/>
          <w:tab w:val="left" w:pos="6480" w:leader="none"/>
        </w:tabs>
        <w:ind w:hanging="900" w:start="0" w:end="-630"/>
        <w:rPr>
          <w:sz w:val="22"/>
        </w:rPr>
      </w:pPr>
      <w:r>
        <w:rPr>
          <w:sz w:val="22"/>
        </w:rPr>
        <w:tab/>
        <w:t>Calculation Periods:</w:t>
        <w:tab/>
        <w:tab/>
        <w:t>&lt;&lt;CalculationPeriod&gt;&gt;</w:t>
      </w:r>
    </w:p>
    <w:p>
      <w:pPr>
        <w:pStyle w:val="BodyTextIndent"/>
        <w:tabs>
          <w:tab w:val="left" w:pos="90" w:leader="none"/>
          <w:tab w:val="left" w:pos="2160" w:leader="none"/>
          <w:tab w:val="left" w:pos="4140" w:leader="none"/>
          <w:tab w:val="left" w:pos="6480" w:leader="none"/>
        </w:tabs>
        <w:ind w:hanging="720" w:start="0" w:end="-630"/>
        <w:rPr>
          <w:sz w:val="22"/>
        </w:rPr>
      </w:pPr>
      <w:r>
        <w:rPr>
          <w:sz w:val="22"/>
        </w:rPr>
      </w:r>
    </w:p>
    <w:p>
      <w:pPr>
        <w:pStyle w:val="BodyTextIndent"/>
        <w:tabs>
          <w:tab w:val="clear" w:pos="90"/>
          <w:tab w:val="left" w:pos="0" w:leader="none"/>
          <w:tab w:val="left" w:pos="2160" w:leader="none"/>
          <w:tab w:val="left" w:pos="4140" w:leader="none"/>
          <w:tab w:val="left" w:pos="6480" w:leader="none"/>
        </w:tabs>
        <w:ind w:hanging="720" w:start="0" w:end="-630"/>
        <w:rPr>
          <w:sz w:val="22"/>
        </w:rPr>
      </w:pPr>
      <w:r>
        <w:rPr>
          <w:sz w:val="22"/>
        </w:rPr>
        <w:tab/>
        <w:t>Payment Date(s):</w:t>
        <w:tab/>
        <w:tab/>
        <w:t>&lt;&lt;PaymentDates&gt;&gt;</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ab/>
      </w:r>
      <w:r>
        <w:rPr>
          <w:sz w:val="22"/>
        </w:rPr>
        <w:t>Fixed Price Payer:</w:t>
        <w:tab/>
        <w:tab/>
        <w:t>&lt;&lt;ISDABuyer&gt;&gt;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22"/>
        </w:rPr>
      </w:pPr>
      <w:r>
        <w:rPr>
          <w:sz w:val="22"/>
        </w:rPr>
        <w:tab/>
        <w:t>Fixed Price:</w:t>
        <w:tab/>
        <w:tab/>
        <w:t>&lt;&lt;FixedPrice&gt;&gt;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sz w:val="16"/>
          <w:vertAlign w:val="superscript"/>
        </w:rPr>
      </w:pPr>
      <w:r>
        <w:rPr>
          <w:sz w:val="16"/>
          <w:vertAlign w:val="superscript"/>
        </w:rPr>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 xml:space="preserve">2 </w:t>
      </w:r>
      <w:r>
        <w:rPr>
          <w:sz w:val="16"/>
        </w:rPr>
        <w:t>Include if American style option.</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3</w:t>
      </w:r>
      <w:r>
        <w:rPr>
          <w:sz w:val="16"/>
        </w:rPr>
        <w:t xml:space="preserve"> Specify city in which Seller is located for purposes of receiving notices.</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4</w:t>
      </w:r>
      <w:r>
        <w:rPr>
          <w:sz w:val="16"/>
        </w:rPr>
        <w:t xml:space="preserve"> Include if option is exercisable only on the Expiration Date.</w:t>
      </w:r>
    </w:p>
    <w:p>
      <w:pPr>
        <w:pStyle w:val="BodyTextIndent"/>
        <w:tabs>
          <w:tab w:val="left" w:pos="90" w:leader="none"/>
          <w:tab w:val="left" w:pos="2160" w:leader="none"/>
          <w:tab w:val="left" w:pos="4140" w:leader="none"/>
          <w:tab w:val="left" w:pos="4320" w:leader="none"/>
          <w:tab w:val="left" w:pos="6480" w:leader="none"/>
        </w:tabs>
        <w:rPr/>
      </w:pPr>
      <w:r>
        <w:rPr>
          <w:sz w:val="16"/>
          <w:vertAlign w:val="superscript"/>
        </w:rPr>
        <w:t xml:space="preserve">5 </w:t>
      </w:r>
      <w:r>
        <w:rPr>
          <w:sz w:val="16"/>
        </w:rPr>
        <w:t>The parties may specify a different Notional Quantity for each party.  In addition, the parties may specify a different Notional Quantity (or a formula for determining that Notional Quantity) for each Calculation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Payer:</w:t>
        <w:tab/>
        <w:tab/>
        <w:t>&lt;&lt;ISDASeller&gt;&gt;</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pPr>
      <w:r>
        <w:rPr>
          <w:sz w:val="22"/>
        </w:rPr>
        <w:tab/>
        <w:t>Commodity  Reference Price:</w:t>
      </w:r>
      <w:r>
        <w:rPr>
          <w:sz w:val="22"/>
          <w:vertAlign w:val="superscript"/>
        </w:rPr>
        <w:t>6</w:t>
      </w:r>
      <w:r>
        <w:rPr>
          <w:sz w:val="22"/>
        </w:rPr>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tab/>
        <w:tab/>
        <w:t>Specified Price:</w:t>
        <w:tab/>
        <w:t>&lt;&lt;PriceFormula&gt;&gt;</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tab/>
        <w:tab/>
        <w:t>[Delivery Date:]</w:t>
        <w:tab/>
        <w:t>&lt;&lt;DeliveryDateForUnderlyingCommodity&gt;&gt;</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tab/>
        <w:tab/>
        <w:t>Pricing Date(s):</w:t>
        <w:tab/>
        <w:t>&lt;&lt;PricePubDate&gt;&gt;</w:t>
      </w:r>
    </w:p>
    <w:p>
      <w:pPr>
        <w:pStyle w:val="BodyTextIndent"/>
        <w:tabs>
          <w:tab w:val="left" w:pos="90" w:leader="none"/>
          <w:tab w:val="left" w:pos="810" w:leader="none"/>
          <w:tab w:val="left" w:pos="2160" w:leader="none"/>
          <w:tab w:val="left" w:pos="4140" w:leader="none"/>
          <w:tab w:val="left" w:pos="6480" w:leader="none"/>
        </w:tabs>
        <w:ind w:hanging="720" w:start="0" w:end="0"/>
        <w:rPr>
          <w:sz w:val="22"/>
        </w:rPr>
      </w:pPr>
      <w:r>
        <w:rPr>
          <w:sz w:val="22"/>
        </w:rPr>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&lt;&lt;AlternatePriceLit&gt;&gt;</w:t>
        <w:tab/>
        <w:t xml:space="preserve"> </w:t>
        <w:tab/>
        <w:t>&lt;&lt;AlternatePriceLit&gt;&gt;</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ind w:hanging="4860" w:start="4140" w:end="0"/>
        <w:rPr>
          <w:sz w:val="22"/>
        </w:rPr>
      </w:pPr>
      <w:r>
        <w:rPr>
          <w:sz w:val="22"/>
        </w:rPr>
        <w:t>&lt;Rounding&gt;</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 xml:space="preserve">3.  </w:t>
      </w:r>
      <w:r>
        <w:rPr>
          <w:b/>
          <w:sz w:val="22"/>
        </w:rPr>
        <w:t>Account Details:</w:t>
      </w:r>
    </w:p>
    <w:p>
      <w:pPr>
        <w:pStyle w:val="BodyTextIndent"/>
        <w:tabs>
          <w:tab w:val="left" w:pos="90" w:leader="none"/>
          <w:tab w:val="left" w:pos="720" w:leader="none"/>
          <w:tab w:val="left" w:pos="1260" w:leader="none"/>
          <w:tab w:val="left" w:pos="2160" w:leader="none"/>
          <w:tab w:val="left" w:pos="4320" w:leader="none"/>
          <w:tab w:val="left" w:pos="6480" w:leader="none"/>
        </w:tabs>
        <w:rPr>
          <w:sz w:val="22"/>
        </w:rPr>
      </w:pPr>
      <w:r>
        <w:rPr>
          <w:sz w:val="22"/>
        </w:rPr>
        <w:tab/>
        <w:tab/>
        <w:t>Payments to Party A:</w:t>
      </w:r>
    </w:p>
    <w:p>
      <w:pPr>
        <w:pStyle w:val="BodyTextIndent"/>
        <w:tabs>
          <w:tab w:val="clear" w:pos="2160"/>
          <w:tab w:val="left" w:pos="90" w:leader="none"/>
          <w:tab w:val="left" w:pos="810" w:leader="none"/>
          <w:tab w:val="left" w:pos="1530" w:leader="none"/>
          <w:tab w:val="left" w:pos="4320" w:leader="none"/>
          <w:tab w:val="left" w:pos="6480" w:leader="none"/>
        </w:tabs>
        <w:rPr>
          <w:sz w:val="22"/>
        </w:rPr>
      </w:pPr>
      <w:r>
        <w:rPr>
          <w:sz w:val="22"/>
        </w:rPr>
        <w:tab/>
        <w:tab/>
        <w:tab/>
        <w:t>Account for payments:</w:t>
      </w:r>
    </w:p>
    <w:p>
      <w:pPr>
        <w:pStyle w:val="BodyTextIndent"/>
        <w:tabs>
          <w:tab w:val="left" w:pos="90" w:leader="none"/>
          <w:tab w:val="left" w:pos="720" w:leader="none"/>
          <w:tab w:val="left" w:pos="2160" w:leader="none"/>
          <w:tab w:val="left" w:pos="4320" w:leader="none"/>
          <w:tab w:val="left" w:pos="6480" w:leader="none"/>
        </w:tabs>
        <w:rPr>
          <w:sz w:val="22"/>
        </w:rPr>
      </w:pPr>
      <w:r>
        <w:rPr>
          <w:sz w:val="22"/>
        </w:rPr>
        <w:tab/>
        <w:tab/>
        <w:t>Payments to Party B:</w:t>
      </w:r>
    </w:p>
    <w:p>
      <w:pPr>
        <w:pStyle w:val="BodyTextIndent"/>
        <w:tabs>
          <w:tab w:val="clear" w:pos="2160"/>
          <w:tab w:val="left" w:pos="90" w:leader="none"/>
          <w:tab w:val="left" w:pos="810" w:leader="none"/>
          <w:tab w:val="left" w:pos="1530" w:leader="none"/>
          <w:tab w:val="left" w:pos="4320" w:leader="none"/>
          <w:tab w:val="left" w:pos="6480" w:leader="none"/>
        </w:tabs>
        <w:rPr>
          <w:sz w:val="22"/>
        </w:rPr>
      </w:pPr>
      <w:r>
        <w:rPr>
          <w:sz w:val="22"/>
        </w:rPr>
        <w:tab/>
        <w:tab/>
        <w:tab/>
        <w:t>Account for payments: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Contract No. &lt;&lt;DealNumber&gt;&gt;</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16"/>
          <w:vertAlign w:val="superscript"/>
        </w:rPr>
        <w:t>6</w:t>
      </w:r>
      <w:r>
        <w:rPr>
          <w:sz w:val="16"/>
        </w:rPr>
        <w:t xml:space="preserve"> The parties  may either (i) specify a Commodity Reference Price defined in the 1993 ISDA Commodity Derivatives Definitions or (ii) create a Commodity Reference Price by specifying a Commodity, a Unit, a Price Source and a Currency.</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/mnt/main-storage/datasets/enron-docs/doc/Isdaswaption.doc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ISDAswaption</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465"/>
        </w:tabs>
        <w:ind w:start="465" w:hanging="375"/>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1998-10-09T13:09:00Z</dcterms:created>
  <dc:creator>wende warren</dc:creator>
  <dc:description/>
  <dc:language>en-CA</dc:language>
  <cp:lastModifiedBy>wende warren</cp:lastModifiedBy>
  <cp:lastPrinted>1998-10-19T15:24:00Z</cp:lastPrinted>
  <dcterms:modified xsi:type="dcterms:W3CDTF">1998-10-19T17:55:00Z</dcterms:modified>
  <cp:revision>9</cp:revision>
  <dc:subject/>
  <dc:title/>
</cp:coreProperties>
</file>