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Header"/>
              <w:widowControl/>
              <w:tabs>
                <w:tab w:val="clear" w:pos="4320"/>
                <w:tab w:val="clear" w:pos="8640"/>
              </w:tabs>
              <w:rPr>
                <w:sz w:val="22"/>
              </w:rPr>
            </w:pPr>
            <w:r>
              <w:rPr>
                <w:sz w:val="22"/>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widowControl/>
              <w:tabs>
                <w:tab w:val="clear" w:pos="720"/>
                <w:tab w:val="left" w:pos="2412" w:leader="none"/>
              </w:tabs>
              <w:ind w:start="1962" w:end="0"/>
              <w:jc w:val="end"/>
              <w:rPr>
                <w:b/>
                <w:sz w:val="22"/>
              </w:rPr>
            </w:pPr>
            <w:r>
              <w:rPr>
                <w:b/>
                <w:sz w:val="22"/>
              </w:rPr>
              <w:fldChar w:fldCharType="begin"/>
            </w:r>
            <w:r>
              <w:rPr>
                <w:sz w:val="22"/>
                <w:b/>
              </w:rPr>
              <w:instrText xml:space="preserve"> MERGEFIELD EnronEntityName </w:instrText>
            </w:r>
            <w:r>
              <w:rPr>
                <w:sz w:val="22"/>
                <w:b/>
              </w:rPr>
              <w:fldChar w:fldCharType="separate"/>
            </w:r>
            <w:r>
              <w:rPr>
                <w:sz w:val="22"/>
                <w:b/>
              </w:rPr>
              <w:t>Enron Capital &amp; Trade Resources Corp.</w:t>
            </w:r>
            <w:r>
              <w:rPr>
                <w:sz w:val="22"/>
                <w:b/>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EnronLogoAddr1 </w:instrText>
            </w:r>
            <w:r>
              <w:rPr>
                <w:sz w:val="22"/>
              </w:rPr>
              <w:fldChar w:fldCharType="separate"/>
            </w:r>
            <w:r>
              <w:rPr>
                <w:sz w:val="22"/>
              </w:rPr>
              <w:t>P.O. Box 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EnronLogoAddr2 </w:instrText>
            </w:r>
            <w:r>
              <w:rPr>
                <w:sz w:val="22"/>
              </w:rPr>
              <w:fldChar w:fldCharType="separate"/>
            </w:r>
            <w:r>
              <w:rPr>
                <w:sz w:val="22"/>
              </w:rPr>
              <w:t>Houston TX 77210-4428</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EnronLogoAddr3 </w:instrText>
            </w:r>
            <w:r>
              <w:rPr>
                <w:sz w:val="22"/>
              </w:rPr>
              <w:fldChar w:fldCharType="separate"/>
            </w:r>
            <w:r>
              <w:rPr>
                <w:sz w:val="22"/>
              </w:rPr>
              <w:t>(713) 853-3300</w:t>
            </w:r>
            <w:r>
              <w:rPr>
                <w:sz w:val="22"/>
              </w:rPr>
              <w:fldChar w:fldCharType="end"/>
            </w:r>
          </w:p>
          <w:p>
            <w:pPr>
              <w:pStyle w:val="Normal"/>
              <w:widowControl/>
              <w:tabs>
                <w:tab w:val="clear" w:pos="720"/>
                <w:tab w:val="left" w:pos="2412" w:leader="none"/>
              </w:tabs>
              <w:ind w:start="1962" w:end="0"/>
              <w:jc w:val="end"/>
              <w:rPr>
                <w:sz w:val="22"/>
              </w:rPr>
            </w:pPr>
            <w:r>
              <w:rPr>
                <w:sz w:val="22"/>
              </w:rPr>
              <w:fldChar w:fldCharType="begin"/>
            </w:r>
            <w:r>
              <w:rPr>
                <w:sz w:val="22"/>
              </w:rPr>
              <w:instrText xml:space="preserve"> MERGEFIELD EnronLogoTelephone </w:instrText>
            </w:r>
            <w:r>
              <w:rPr>
                <w:sz w:val="22"/>
              </w:rPr>
              <w:fldChar w:fldCharType="separate"/>
            </w:r>
            <w:r>
              <w:rPr>
                <w:sz w:val="22"/>
              </w:rPr>
              <w:t>Fax (713) 646-4816</w:t>
            </w:r>
            <w:r>
              <w:rPr>
                <w:sz w:val="22"/>
              </w:rPr>
              <w:fldChar w:fldCharType="end"/>
            </w:r>
          </w:p>
          <w:p>
            <w:pPr>
              <w:pStyle w:val="Normal"/>
              <w:widowControl/>
              <w:tabs>
                <w:tab w:val="clear" w:pos="720"/>
                <w:tab w:val="left" w:pos="2412" w:leader="none"/>
              </w:tabs>
              <w:ind w:start="1962" w:end="0"/>
              <w:rPr>
                <w:sz w:val="22"/>
              </w:rPr>
            </w:pPr>
            <w:r>
              <w:rPr>
                <w:sz w:val="22"/>
              </w:rPr>
              <w:fldChar w:fldCharType="begin"/>
            </w:r>
            <w:r>
              <w:rPr>
                <w:sz w:val="22"/>
              </w:rPr>
              <w:instrText xml:space="preserve"> MERGEFIELD EnronLogoFax </w:instrText>
            </w:r>
            <w:r>
              <w:rPr>
                <w:sz w:val="22"/>
              </w:rPr>
              <w:fldChar w:fldCharType="separate"/>
            </w:r>
            <w:r>
              <w:rPr>
                <w:sz w:val="22"/>
              </w:rPr>
              <w:t xml:space="preserve"> </w:t>
            </w:r>
            <w:r>
              <w:rPr>
                <w:sz w:val="22"/>
              </w:rPr>
              <w:fldChar w:fldCharType="end"/>
            </w:r>
          </w:p>
        </w:tc>
      </w:tr>
    </w:tbl>
    <w:p>
      <w:pPr>
        <w:pStyle w:val="Caption"/>
        <w:rPr>
          <w:b w:val="false"/>
          <w:u w:val="none"/>
        </w:rPr>
      </w:pPr>
      <w:r>
        <w:rPr>
          <w:b w:val="false"/>
          <w:u w:val="none"/>
        </w:rPr>
      </w:r>
    </w:p>
    <w:p>
      <w:pPr>
        <w:pStyle w:val="Caption"/>
        <w:rPr/>
      </w:pPr>
      <w:r>
        <w:rPr/>
        <w:t>CONFIRMATION</w:t>
      </w:r>
    </w:p>
    <w:p>
      <w:pPr>
        <w:pStyle w:val="Normal"/>
        <w:widowControl/>
        <w:rPr>
          <w:sz w:val="22"/>
        </w:rPr>
      </w:pPr>
      <w:r>
        <w:rPr>
          <w:sz w:val="22"/>
        </w:rPr>
      </w:r>
    </w:p>
    <w:p>
      <w:pPr>
        <w:pStyle w:val="Normal"/>
        <w:widowControl/>
        <w:rPr>
          <w:sz w:val="22"/>
        </w:rPr>
      </w:pPr>
      <w:r>
        <w:rPr>
          <w:sz w:val="22"/>
        </w:rPr>
        <w:t>Date:</w:t>
        <w:tab/>
        <w:tab/>
        <w:tab/>
        <w:tab/>
        <w:t>August 6, 1999</w:t>
      </w:r>
    </w:p>
    <w:p>
      <w:pPr>
        <w:pStyle w:val="Normal"/>
        <w:widowControl/>
        <w:rPr>
          <w:sz w:val="22"/>
          <w:u w:val="single"/>
        </w:rPr>
      </w:pPr>
      <w:r>
        <w:rPr>
          <w:sz w:val="22"/>
          <w:u w:val="single"/>
        </w:rPr>
      </w:r>
    </w:p>
    <w:p>
      <w:pPr>
        <w:pStyle w:val="Normal"/>
        <w:widowControl/>
        <w:rPr>
          <w:sz w:val="22"/>
        </w:rPr>
      </w:pPr>
      <w:r>
        <w:rPr>
          <w:sz w:val="22"/>
        </w:rPr>
        <w:t>To:</w:t>
        <w:tab/>
        <w:tab/>
        <w:tab/>
        <w:tab/>
        <w:t>Irving Pulp &amp; Paper, Limited (“Party B”)</w:t>
      </w:r>
    </w:p>
    <w:p>
      <w:pPr>
        <w:pStyle w:val="Normal"/>
        <w:widowControl/>
        <w:rPr>
          <w:sz w:val="22"/>
        </w:rPr>
      </w:pPr>
      <w:r>
        <w:rPr>
          <w:sz w:val="22"/>
        </w:rPr>
      </w:r>
    </w:p>
    <w:p>
      <w:pPr>
        <w:pStyle w:val="Normal"/>
        <w:widowControl/>
        <w:rPr>
          <w:sz w:val="22"/>
        </w:rPr>
      </w:pPr>
      <w:r>
        <w:rPr>
          <w:sz w:val="22"/>
        </w:rPr>
        <w:t xml:space="preserve">Attention: </w:t>
        <w:tab/>
        <w:tab/>
        <w:tab/>
        <w:t xml:space="preserve">Mark Bettle </w:t>
      </w:r>
    </w:p>
    <w:p>
      <w:pPr>
        <w:pStyle w:val="Normal"/>
        <w:widowControl/>
        <w:rPr>
          <w:sz w:val="22"/>
        </w:rPr>
      </w:pPr>
      <w:r>
        <w:rPr>
          <w:sz w:val="22"/>
        </w:rPr>
      </w:r>
    </w:p>
    <w:p>
      <w:pPr>
        <w:pStyle w:val="Normal"/>
        <w:widowControl/>
        <w:rPr>
          <w:sz w:val="22"/>
        </w:rPr>
      </w:pPr>
      <w:r>
        <w:rPr>
          <w:sz w:val="22"/>
        </w:rPr>
        <w:t>Fax Number:</w:t>
        <w:tab/>
        <w:tab/>
        <w:tab/>
        <w:t xml:space="preserve">(506) 636-5113 </w:t>
      </w:r>
    </w:p>
    <w:p>
      <w:pPr>
        <w:pStyle w:val="Normal"/>
        <w:widowControl/>
        <w:rPr>
          <w:sz w:val="22"/>
        </w:rPr>
      </w:pPr>
      <w:r>
        <w:rPr>
          <w:sz w:val="22"/>
        </w:rPr>
      </w:r>
    </w:p>
    <w:p>
      <w:pPr>
        <w:pStyle w:val="Normal"/>
        <w:widowControl/>
        <w:rPr>
          <w:sz w:val="22"/>
        </w:rPr>
      </w:pPr>
      <w:r>
        <w:rPr>
          <w:sz w:val="22"/>
        </w:rPr>
        <w:t>From:</w:t>
        <w:tab/>
        <w:tab/>
        <w:tab/>
        <w:tab/>
        <w:t>Enron Capital &amp; Trade Resources Canada Corp. (“Party A”)</w:t>
      </w:r>
    </w:p>
    <w:p>
      <w:pPr>
        <w:pStyle w:val="Normal"/>
        <w:widowControl/>
        <w:rPr>
          <w:sz w:val="22"/>
        </w:rPr>
      </w:pPr>
      <w:r>
        <w:rPr>
          <w:sz w:val="22"/>
        </w:rPr>
      </w:r>
    </w:p>
    <w:p>
      <w:pPr>
        <w:pStyle w:val="Normal"/>
        <w:widowControl/>
        <w:rPr>
          <w:sz w:val="22"/>
        </w:rPr>
      </w:pPr>
      <w:r>
        <w:rPr>
          <w:sz w:val="22"/>
        </w:rPr>
        <w:t>Re:</w:t>
        <w:tab/>
        <w:tab/>
        <w:tab/>
        <w:tab/>
        <w:t>Commodity Swap, ECT Deal No. N01673.1</w:t>
      </w:r>
    </w:p>
    <w:p>
      <w:pPr>
        <w:pStyle w:val="Normal"/>
        <w:widowControl/>
        <w:rPr>
          <w:sz w:val="22"/>
        </w:rPr>
      </w:pPr>
      <w:r>
        <w:rPr>
          <w:sz w:val="22"/>
        </w:rPr>
      </w:r>
    </w:p>
    <w:p>
      <w:pPr>
        <w:pStyle w:val="BodyTextIndent"/>
        <w:rPr/>
      </w:pPr>
      <w:r>
        <w:rPr/>
        <w:t>The purpose of this letter agreement is to confirm the terms and conditions of the Transaction entered into between us on the Trade Date specified below (“Transaction”).  This letter constitutes a “Confirmation” as referred to in the ISDA Master Agreement specified below.</w:t>
      </w:r>
    </w:p>
    <w:p>
      <w:pPr>
        <w:pStyle w:val="Normal"/>
        <w:widowControl/>
        <w:ind w:firstLine="720" w:end="0"/>
        <w:jc w:val="both"/>
        <w:rPr>
          <w:sz w:val="22"/>
        </w:rPr>
      </w:pPr>
      <w:r>
        <w:rPr>
          <w:sz w:val="22"/>
        </w:rPr>
      </w:r>
    </w:p>
    <w:p>
      <w:pPr>
        <w:pStyle w:val="Normal"/>
        <w:widowControl/>
        <w:ind w:firstLine="720" w:end="0"/>
        <w:jc w:val="both"/>
        <w:rPr>
          <w:sz w:val="22"/>
        </w:rPr>
      </w:pPr>
      <w:r>
        <w:rPr>
          <w:sz w:val="22"/>
        </w:rPr>
        <w:t>1. This Confirmation supplements, forms part of, and is subject to the ISDA Master Agreement dated as of August 11, 1998, as amended and supplemented from time to time (the “Agreement”), between you and us.  All provisions contained in the Agreement govern this Confirmation except as expressly modified below. Capitalized terms used but not otherwise defined herein shall have the meanings set forth in the Agreement.</w:t>
      </w:r>
    </w:p>
    <w:p>
      <w:pPr>
        <w:pStyle w:val="Normal"/>
        <w:widowControl/>
        <w:jc w:val="both"/>
        <w:rPr>
          <w:sz w:val="22"/>
        </w:rPr>
      </w:pPr>
      <w:r>
        <w:rPr>
          <w:sz w:val="22"/>
        </w:rPr>
      </w:r>
    </w:p>
    <w:p>
      <w:pPr>
        <w:pStyle w:val="Normal"/>
        <w:widowControl/>
        <w:ind w:firstLine="720" w:end="0"/>
        <w:jc w:val="both"/>
        <w:rPr>
          <w:sz w:val="22"/>
        </w:rPr>
      </w:pPr>
      <w:r>
        <w:rPr>
          <w:sz w:val="22"/>
        </w:rPr>
        <w:t>2. Each party hereto acknowledges that this Confirmation and the Transaction are being entered into for good, valuable and sufficient consideration, including, but not limited to, the mutual promises made by each party under this Confirmation or the Transaction.  The parties hereto agree to the following terms for the Transaction:</w:t>
      </w:r>
    </w:p>
    <w:p>
      <w:pPr>
        <w:pStyle w:val="Normal"/>
        <w:widowControl/>
        <w:jc w:val="both"/>
        <w:rPr>
          <w:sz w:val="22"/>
        </w:rPr>
      </w:pPr>
      <w:r>
        <w:rPr>
          <w:sz w:val="22"/>
        </w:rPr>
      </w:r>
    </w:p>
    <w:p>
      <w:pPr>
        <w:pStyle w:val="Normal"/>
        <w:widowControl/>
        <w:rPr/>
      </w:pPr>
      <w:r>
        <w:rPr>
          <w:b/>
          <w:sz w:val="22"/>
          <w:u w:val="single"/>
        </w:rPr>
        <w:t>General Terms</w:t>
      </w:r>
      <w:r>
        <w:rPr>
          <w:sz w:val="22"/>
        </w:rPr>
        <w:t>:</w:t>
      </w:r>
    </w:p>
    <w:p>
      <w:pPr>
        <w:pStyle w:val="Normal"/>
        <w:widowControl/>
        <w:rPr>
          <w:sz w:val="22"/>
        </w:rPr>
      </w:pPr>
      <w:r>
        <w:rPr>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widowControl/>
              <w:ind w:firstLine="720" w:end="0"/>
              <w:jc w:val="both"/>
              <w:rPr>
                <w:sz w:val="22"/>
              </w:rPr>
            </w:pPr>
            <w:r>
              <w:rPr>
                <w:sz w:val="22"/>
              </w:rPr>
              <w:t>Total Notional Quantity:</w:t>
            </w:r>
          </w:p>
        </w:tc>
        <w:tc>
          <w:tcPr>
            <w:tcW w:w="4788" w:type="dxa"/>
            <w:tcBorders/>
          </w:tcPr>
          <w:p>
            <w:pPr>
              <w:pStyle w:val="Normal"/>
              <w:widowControl/>
              <w:jc w:val="both"/>
              <w:rPr>
                <w:sz w:val="22"/>
              </w:rPr>
            </w:pPr>
            <w:r>
              <w:rPr>
                <w:sz w:val="22"/>
              </w:rPr>
              <w:t xml:space="preserve">144,000 Short Tons </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Notional Quantity</w:t>
            </w:r>
          </w:p>
          <w:p>
            <w:pPr>
              <w:pStyle w:val="Normal"/>
              <w:widowControl/>
              <w:ind w:firstLine="720" w:end="0"/>
              <w:jc w:val="both"/>
              <w:rPr>
                <w:sz w:val="22"/>
              </w:rPr>
            </w:pPr>
            <w:r>
              <w:rPr>
                <w:sz w:val="22"/>
              </w:rPr>
              <w:t>Per Calculation Period:</w:t>
            </w:r>
          </w:p>
        </w:tc>
        <w:tc>
          <w:tcPr>
            <w:tcW w:w="4788" w:type="dxa"/>
            <w:tcBorders/>
          </w:tcPr>
          <w:p>
            <w:pPr>
              <w:pStyle w:val="Normal"/>
              <w:widowControl/>
              <w:snapToGrid w:val="false"/>
              <w:jc w:val="both"/>
              <w:rPr>
                <w:sz w:val="22"/>
              </w:rPr>
            </w:pPr>
            <w:r>
              <w:rPr>
                <w:sz w:val="22"/>
              </w:rPr>
            </w:r>
          </w:p>
          <w:p>
            <w:pPr>
              <w:pStyle w:val="Normal"/>
              <w:widowControl/>
              <w:jc w:val="both"/>
              <w:rPr>
                <w:sz w:val="22"/>
              </w:rPr>
            </w:pPr>
            <w:r>
              <w:rPr>
                <w:sz w:val="22"/>
              </w:rPr>
              <w:t>6,000 Short Tons</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w:t>
            </w:r>
          </w:p>
        </w:tc>
        <w:tc>
          <w:tcPr>
            <w:tcW w:w="4788" w:type="dxa"/>
            <w:tcBorders/>
          </w:tcPr>
          <w:p>
            <w:pPr>
              <w:pStyle w:val="Normal"/>
              <w:widowControl/>
              <w:jc w:val="both"/>
              <w:rPr>
                <w:sz w:val="22"/>
              </w:rPr>
            </w:pPr>
            <w:r>
              <w:rPr>
                <w:sz w:val="22"/>
              </w:rPr>
              <w:t>26 LB. Semichemical Medium</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Commodity Unit:</w:t>
            </w:r>
          </w:p>
        </w:tc>
        <w:tc>
          <w:tcPr>
            <w:tcW w:w="4788" w:type="dxa"/>
            <w:tcBorders/>
          </w:tcPr>
          <w:p>
            <w:pPr>
              <w:pStyle w:val="Normal"/>
              <w:widowControl/>
              <w:jc w:val="both"/>
              <w:rPr>
                <w:sz w:val="22"/>
              </w:rPr>
            </w:pPr>
            <w:r>
              <w:rPr>
                <w:sz w:val="22"/>
              </w:rPr>
              <w:t>Short Tons</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Trade Date:</w:t>
            </w:r>
          </w:p>
        </w:tc>
        <w:tc>
          <w:tcPr>
            <w:tcW w:w="4788" w:type="dxa"/>
            <w:tcBorders/>
          </w:tcPr>
          <w:p>
            <w:pPr>
              <w:pStyle w:val="Normal"/>
              <w:widowControl/>
              <w:jc w:val="both"/>
              <w:rPr>
                <w:sz w:val="22"/>
              </w:rPr>
            </w:pPr>
            <w:r>
              <w:rPr>
                <w:sz w:val="22"/>
              </w:rPr>
              <w:t>August 6, 1999</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Effective Date:</w:t>
            </w:r>
          </w:p>
        </w:tc>
        <w:tc>
          <w:tcPr>
            <w:tcW w:w="4788" w:type="dxa"/>
            <w:tcBorders/>
          </w:tcPr>
          <w:p>
            <w:pPr>
              <w:pStyle w:val="Normal"/>
              <w:widowControl/>
              <w:jc w:val="both"/>
              <w:rPr>
                <w:sz w:val="22"/>
              </w:rPr>
            </w:pPr>
            <w:r>
              <w:rPr>
                <w:sz w:val="22"/>
              </w:rPr>
              <w:t>August 1, 1999</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Termination Date:</w:t>
            </w:r>
          </w:p>
        </w:tc>
        <w:tc>
          <w:tcPr>
            <w:tcW w:w="4788" w:type="dxa"/>
            <w:tcBorders/>
          </w:tcPr>
          <w:p>
            <w:pPr>
              <w:pStyle w:val="Normal"/>
              <w:widowControl/>
              <w:jc w:val="both"/>
              <w:rPr>
                <w:sz w:val="22"/>
              </w:rPr>
            </w:pPr>
            <w:r>
              <w:rPr>
                <w:sz w:val="22"/>
              </w:rPr>
              <w:t>July 31, 2001</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Calculation Period(s):</w:t>
            </w:r>
          </w:p>
        </w:tc>
        <w:tc>
          <w:tcPr>
            <w:tcW w:w="4788" w:type="dxa"/>
            <w:tcBorders/>
          </w:tcPr>
          <w:p>
            <w:pPr>
              <w:pStyle w:val="Normal"/>
              <w:widowControl/>
              <w:jc w:val="both"/>
              <w:rPr/>
            </w:pPr>
            <w:r>
              <w:rPr>
                <w:color w:val="000000"/>
                <w:sz w:val="22"/>
              </w:rPr>
              <w:t xml:space="preserve">Monthly periods, with the first Calculation Period commencing on </w:t>
            </w:r>
            <w:r>
              <w:rPr>
                <w:sz w:val="22"/>
              </w:rPr>
              <w:t xml:space="preserve">August 1, 1999 </w:t>
            </w:r>
            <w:r>
              <w:rPr>
                <w:color w:val="000000"/>
                <w:sz w:val="22"/>
              </w:rPr>
              <w:t xml:space="preserve">and the final Calculation Period ending on </w:t>
            </w:r>
            <w:r>
              <w:rPr>
                <w:sz w:val="22"/>
              </w:rPr>
              <w:t>July 31, 2001</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Payment Date(s):</w:t>
            </w:r>
          </w:p>
        </w:tc>
        <w:tc>
          <w:tcPr>
            <w:tcW w:w="4788" w:type="dxa"/>
            <w:tcBorders/>
          </w:tcPr>
          <w:p>
            <w:pPr>
              <w:pStyle w:val="Normal"/>
              <w:widowControl/>
              <w:jc w:val="both"/>
              <w:rPr/>
            </w:pPr>
            <w:r>
              <w:rPr>
                <w:sz w:val="22"/>
              </w:rPr>
              <w:t>The fifth (5</w:t>
            </w:r>
            <w:r>
              <w:rPr>
                <w:sz w:val="22"/>
                <w:vertAlign w:val="superscript"/>
              </w:rPr>
              <w:t>th</w:t>
            </w:r>
            <w:r>
              <w:rPr>
                <w:sz w:val="22"/>
              </w:rPr>
              <w:t>) Business Day following the last Pricing Date for the applicable Calculation Period</w:t>
            </w:r>
          </w:p>
        </w:tc>
      </w:tr>
      <w:tr>
        <w:trPr/>
        <w:tc>
          <w:tcPr>
            <w:tcW w:w="4788" w:type="dxa"/>
            <w:tcBorders/>
          </w:tcPr>
          <w:p>
            <w:pPr>
              <w:pStyle w:val="Normal"/>
              <w:widowControl/>
              <w:snapToGrid w:val="false"/>
              <w:ind w:start="-9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start="-90" w:end="0"/>
              <w:jc w:val="both"/>
              <w:rPr>
                <w:sz w:val="22"/>
              </w:rPr>
            </w:pPr>
            <w:r>
              <w:rPr>
                <w:b/>
                <w:sz w:val="22"/>
                <w:u w:val="single"/>
              </w:rPr>
              <w:t>Fixed Amount Details:</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 Payer:</w:t>
            </w:r>
          </w:p>
        </w:tc>
        <w:tc>
          <w:tcPr>
            <w:tcW w:w="4788" w:type="dxa"/>
            <w:tcBorders/>
          </w:tcPr>
          <w:p>
            <w:pPr>
              <w:pStyle w:val="Normal"/>
              <w:widowControl/>
              <w:jc w:val="both"/>
              <w:rPr>
                <w:sz w:val="22"/>
              </w:rPr>
            </w:pPr>
            <w:r>
              <w:rPr>
                <w:sz w:val="22"/>
              </w:rPr>
              <w:t xml:space="preserve">Party B </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Fixed Price:</w:t>
            </w:r>
          </w:p>
        </w:tc>
        <w:tc>
          <w:tcPr>
            <w:tcW w:w="4788" w:type="dxa"/>
            <w:tcBorders/>
          </w:tcPr>
          <w:p>
            <w:pPr>
              <w:pStyle w:val="Normal"/>
              <w:widowControl/>
              <w:jc w:val="both"/>
              <w:rPr>
                <w:sz w:val="22"/>
              </w:rPr>
            </w:pPr>
            <w:r>
              <w:rPr>
                <w:sz w:val="22"/>
              </w:rPr>
              <w:t>U.S. $ 400.00 per Short Ton</w:t>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jc w:val="both"/>
              <w:rPr>
                <w:sz w:val="22"/>
              </w:rPr>
            </w:pPr>
            <w:r>
              <w:rPr>
                <w:b/>
                <w:sz w:val="22"/>
                <w:u w:val="single"/>
              </w:rPr>
              <w:t>Floating Amount Details:</w:t>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snapToGrid w:val="false"/>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Floating Price Payer</w:t>
            </w:r>
          </w:p>
        </w:tc>
        <w:tc>
          <w:tcPr>
            <w:tcW w:w="4788" w:type="dxa"/>
            <w:tcBorders/>
          </w:tcPr>
          <w:p>
            <w:pPr>
              <w:pStyle w:val="Normal"/>
              <w:widowControl/>
              <w:jc w:val="both"/>
              <w:rPr>
                <w:sz w:val="22"/>
              </w:rPr>
            </w:pPr>
            <w:r>
              <w:rPr>
                <w:sz w:val="22"/>
              </w:rPr>
              <w:t>Party A</w:t>
            </w:r>
          </w:p>
        </w:tc>
      </w:tr>
      <w:tr>
        <w:trPr/>
        <w:tc>
          <w:tcPr>
            <w:tcW w:w="4788" w:type="dxa"/>
            <w:tcBorders/>
          </w:tcPr>
          <w:p>
            <w:pPr>
              <w:pStyle w:val="Normal"/>
              <w:widowControl/>
              <w:snapToGrid w:val="false"/>
              <w:ind w:firstLine="720" w:end="0"/>
              <w:rPr>
                <w:sz w:val="22"/>
              </w:rPr>
            </w:pPr>
            <w:r>
              <w:rPr>
                <w:sz w:val="22"/>
              </w:rPr>
            </w:r>
          </w:p>
        </w:tc>
        <w:tc>
          <w:tcPr>
            <w:tcW w:w="4788" w:type="dxa"/>
            <w:tcBorders/>
          </w:tcPr>
          <w:p>
            <w:pPr>
              <w:pStyle w:val="Normal"/>
              <w:widowControl/>
              <w:snapToGrid w:val="false"/>
              <w:rPr>
                <w:sz w:val="22"/>
              </w:rPr>
            </w:pPr>
            <w:r>
              <w:rPr>
                <w:sz w:val="22"/>
              </w:rPr>
            </w:r>
          </w:p>
        </w:tc>
      </w:tr>
      <w:tr>
        <w:trPr/>
        <w:tc>
          <w:tcPr>
            <w:tcW w:w="4788" w:type="dxa"/>
            <w:tcBorders/>
          </w:tcPr>
          <w:p>
            <w:pPr>
              <w:pStyle w:val="Normal"/>
              <w:widowControl/>
              <w:ind w:firstLine="720" w:end="0"/>
              <w:jc w:val="both"/>
              <w:rPr>
                <w:sz w:val="22"/>
              </w:rPr>
            </w:pPr>
            <w:r>
              <w:rPr>
                <w:sz w:val="22"/>
              </w:rPr>
              <w:t>Floating Price:</w:t>
            </w:r>
          </w:p>
        </w:tc>
        <w:tc>
          <w:tcPr>
            <w:tcW w:w="4788" w:type="dxa"/>
            <w:tcBorders/>
          </w:tcPr>
          <w:p>
            <w:pPr>
              <w:pStyle w:val="Normal"/>
              <w:widowControl/>
              <w:jc w:val="both"/>
              <w:rPr/>
            </w:pPr>
            <w:r>
              <w:rPr>
                <w:sz w:val="22"/>
              </w:rPr>
              <w:t xml:space="preserve">The Floating Price for each Calculation Period shall be an amount equal to the arithmetic average of the high and low prices per Short Ton of 26 LB. Semichemical Medium, stated in U.S. Dollars, published under the headings: “Price Watch: Paperboard/Packaging: Corrugating medium (26-lb): Semichemical, East” in the issue of </w:t>
            </w:r>
            <w:r>
              <w:rPr>
                <w:sz w:val="22"/>
                <w:u w:val="single"/>
              </w:rPr>
              <w:t>Pulp &amp; Paper Week</w:t>
            </w:r>
            <w:r>
              <w:rPr>
                <w:sz w:val="22"/>
              </w:rPr>
              <w:t xml:space="preserve"> that reports prices effective on the Pricing Date for such Calculation Period</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Pricing Date(s):</w:t>
            </w:r>
          </w:p>
        </w:tc>
        <w:tc>
          <w:tcPr>
            <w:tcW w:w="4788" w:type="dxa"/>
            <w:tcBorders/>
          </w:tcPr>
          <w:p>
            <w:pPr>
              <w:pStyle w:val="Normal"/>
              <w:widowControl/>
              <w:jc w:val="both"/>
              <w:rPr/>
            </w:pPr>
            <w:r>
              <w:rPr>
                <w:sz w:val="22"/>
              </w:rPr>
              <w:t xml:space="preserve">Date of publication of </w:t>
            </w:r>
            <w:r>
              <w:rPr>
                <w:sz w:val="22"/>
                <w:u w:val="single"/>
              </w:rPr>
              <w:t>Pulp &amp; Paper Week</w:t>
            </w:r>
            <w:r>
              <w:rPr>
                <w:sz w:val="22"/>
              </w:rPr>
              <w:t>, or any successor publication, published by Miller Freeman Inc. or its successor (such publication, the “</w:t>
            </w:r>
            <w:r>
              <w:rPr>
                <w:sz w:val="22"/>
                <w:u w:val="single"/>
              </w:rPr>
              <w:t>Pulp &amp; Paper Week</w:t>
            </w:r>
            <w:r>
              <w:rPr>
                <w:sz w:val="22"/>
              </w:rPr>
              <w:t xml:space="preserve">”) for the applicable Calculation Period </w:t>
            </w:r>
          </w:p>
        </w:tc>
      </w:tr>
      <w:tr>
        <w:trPr/>
        <w:tc>
          <w:tcPr>
            <w:tcW w:w="4788" w:type="dxa"/>
            <w:tcBorders/>
          </w:tcPr>
          <w:p>
            <w:pPr>
              <w:pStyle w:val="Normal"/>
              <w:widowControl/>
              <w:snapToGrid w:val="false"/>
              <w:ind w:firstLine="720" w:end="0"/>
              <w:jc w:val="both"/>
              <w:rPr>
                <w:sz w:val="22"/>
              </w:rPr>
            </w:pPr>
            <w:r>
              <w:rPr>
                <w:sz w:val="22"/>
              </w:rPr>
            </w:r>
          </w:p>
        </w:tc>
        <w:tc>
          <w:tcPr>
            <w:tcW w:w="4788" w:type="dxa"/>
            <w:tcBorders/>
          </w:tcPr>
          <w:p>
            <w:pPr>
              <w:pStyle w:val="Normal"/>
              <w:widowControl/>
              <w:snapToGrid w:val="false"/>
              <w:jc w:val="both"/>
              <w:rPr>
                <w:sz w:val="22"/>
              </w:rPr>
            </w:pPr>
            <w:r>
              <w:rPr>
                <w:sz w:val="22"/>
              </w:rPr>
            </w:r>
          </w:p>
        </w:tc>
      </w:tr>
      <w:tr>
        <w:trPr/>
        <w:tc>
          <w:tcPr>
            <w:tcW w:w="4788" w:type="dxa"/>
            <w:tcBorders/>
          </w:tcPr>
          <w:p>
            <w:pPr>
              <w:pStyle w:val="Normal"/>
              <w:widowControl/>
              <w:ind w:firstLine="720" w:end="0"/>
              <w:jc w:val="both"/>
              <w:rPr>
                <w:sz w:val="22"/>
              </w:rPr>
            </w:pPr>
            <w:r>
              <w:rPr>
                <w:sz w:val="22"/>
              </w:rPr>
              <w:t>Fallback Reference Price:</w:t>
            </w:r>
          </w:p>
        </w:tc>
        <w:tc>
          <w:tcPr>
            <w:tcW w:w="4788" w:type="dxa"/>
            <w:tcBorders/>
          </w:tcPr>
          <w:p>
            <w:pPr>
              <w:pStyle w:val="Normal"/>
              <w:widowControl/>
              <w:jc w:val="both"/>
              <w:rPr/>
            </w:pPr>
            <w:r>
              <w:rPr>
                <w:sz w:val="22"/>
              </w:rPr>
              <w:t xml:space="preserve">The Fallback Reference Price for any Calculation Period shall be the price per Short Ton of 26 LB. Semichemical Medium, stated in U.S. Dollars, published under the headings “Table 2: Paper Packaging Monthly Price Summary: Dollars per Short Ton: Containerboard: 26 Lb. Semichemical Medium: Price (Eastern U.S.)” in the issue of </w:t>
            </w:r>
            <w:r>
              <w:rPr>
                <w:sz w:val="22"/>
                <w:u w:val="single"/>
              </w:rPr>
              <w:t>Paper Packaging Monitor,</w:t>
            </w:r>
            <w:r>
              <w:rPr>
                <w:sz w:val="22"/>
              </w:rPr>
              <w:t xml:space="preserve"> or its successor publication, as published by Resource Information Systems, Inc. (or its successor) that reports prices effective on the Pricing Date for such Calculation Period</w:t>
            </w:r>
          </w:p>
          <w:p>
            <w:pPr>
              <w:pStyle w:val="Normal"/>
              <w:widowControl/>
              <w:jc w:val="both"/>
              <w:rPr>
                <w:sz w:val="22"/>
              </w:rPr>
            </w:pPr>
            <w:r>
              <w:rPr>
                <w:sz w:val="22"/>
              </w:rPr>
            </w:r>
          </w:p>
        </w:tc>
      </w:tr>
    </w:tbl>
    <w:p>
      <w:pPr>
        <w:pStyle w:val="BodyTextIndent2"/>
        <w:rPr/>
      </w:pPr>
      <w:r>
        <w:rPr/>
        <w:t>Other Provisions:</w:t>
        <w:tab/>
        <w:t>Notwithstanding any other termination provision contained in the Agreement, as long as no Early Termination Date with respect to the Transaction has occurred or been designated, the parties agree that Party A may terminate this Transaction in whole or in part on any Business Day from and including the Trade Date to and including August 13, 1999 by giving telephonic notice (which shall be irrevocable) to Party B no later than 5:00 p.m. (CST) of its intention to terminate this Transaction (i) in whole and this Transaction shall terminate on the such date (the “Optional Early Termination Date”) or (ii) in part with a revised Total Notional Quantity and this Transaction shall continue from such Optional Early Termination Date. Party A shall deliver to Party B written confirmation of such telephonic notice one Business Day following the Optional Early Termination Date, provided however, that failure to deliver such written confirmation within the specified time period shall in no way affect or suspend the validity of the telephonic notice.</w:t>
      </w:r>
    </w:p>
    <w:p>
      <w:pPr>
        <w:pStyle w:val="BodyTextIndent2"/>
        <w:rPr/>
      </w:pPr>
      <w:r>
        <w:rPr/>
      </w:r>
    </w:p>
    <w:p>
      <w:pPr>
        <w:pStyle w:val="Normal"/>
        <w:widowControl/>
        <w:jc w:val="both"/>
        <w:rPr>
          <w:sz w:val="22"/>
        </w:rPr>
      </w:pPr>
      <w:r>
        <w:rPr>
          <w:sz w:val="22"/>
        </w:rPr>
        <w:t>3. Special Provisions</w:t>
      </w:r>
    </w:p>
    <w:p>
      <w:pPr>
        <w:pStyle w:val="Normal"/>
        <w:widowControl/>
        <w:jc w:val="both"/>
        <w:rPr>
          <w:sz w:val="22"/>
        </w:rPr>
      </w:pPr>
      <w:r>
        <w:rPr>
          <w:sz w:val="22"/>
        </w:rPr>
      </w:r>
    </w:p>
    <w:p>
      <w:pPr>
        <w:pStyle w:val="Normal"/>
        <w:widowControl/>
        <w:ind w:firstLine="720" w:end="0"/>
        <w:jc w:val="both"/>
        <w:rPr>
          <w:sz w:val="22"/>
        </w:rPr>
      </w:pPr>
      <w:r>
        <w:rPr>
          <w:sz w:val="22"/>
        </w:rPr>
        <w:t>In accordance with the provisions of Annex A of the Agreement, (i) Party B shall deliver to Party A an Additional Amount equal to the sum of (a) U.S. $15.00 per Short Ton multiplied by the Total Notional Quantity and (b) the Additional Amount of U.S. $250,000 (as defined in Annex A), and such amount shall be delivered three Business Days following August 13, 1999; or (ii) in the event this Transaction is terminated in part as set forth in “Other Provisions” above, Party B shall deliver to Party A an Additional Amount equal to the sum of (a) U.S. $15.00 per Short Ton multiplied by the revised Total Notional Quantity and (b) the Additional Amount of U.S. $250,000 (as defined in Annex A), and such amount(s) shall be delivered on the day that is three Business Days following the date on which Party A delivers telephonic notice of its partial termination of this Transaction.</w:t>
      </w:r>
    </w:p>
    <w:p>
      <w:pPr>
        <w:pStyle w:val="BodyTextIndent2"/>
        <w:rPr>
          <w:sz w:val="22"/>
        </w:rPr>
      </w:pPr>
      <w:r>
        <w:rPr>
          <w:sz w:val="22"/>
        </w:rPr>
      </w:r>
    </w:p>
    <w:p>
      <w:pPr>
        <w:pStyle w:val="Normal"/>
        <w:widowControl/>
        <w:jc w:val="both"/>
        <w:rPr>
          <w:sz w:val="22"/>
        </w:rPr>
      </w:pPr>
      <w:r>
        <w:rPr>
          <w:sz w:val="22"/>
        </w:rPr>
      </w:r>
    </w:p>
    <w:p>
      <w:pPr>
        <w:pStyle w:val="Normal"/>
        <w:widowControl/>
        <w:ind w:firstLine="720" w:end="0"/>
        <w:jc w:val="both"/>
        <w:rPr>
          <w:sz w:val="22"/>
        </w:rPr>
      </w:pPr>
      <w:r>
        <w:rPr>
          <w:sz w:val="22"/>
        </w:rPr>
        <w:t>Each party represents that it is in compliance with the terms, conditions and limitations set forth in the board resolutions or other guidelines that are applicable to such party’s execution and performance of this Transaction.</w:t>
      </w:r>
    </w:p>
    <w:p>
      <w:pPr>
        <w:pStyle w:val="Normal"/>
        <w:widowControl/>
        <w:jc w:val="both"/>
        <w:rPr>
          <w:sz w:val="22"/>
        </w:rPr>
      </w:pPr>
      <w:r>
        <w:rPr>
          <w:sz w:val="22"/>
        </w:rPr>
      </w:r>
    </w:p>
    <w:p>
      <w:pPr>
        <w:pStyle w:val="Normal"/>
        <w:widowControl/>
        <w:ind w:firstLine="720" w:end="0"/>
        <w:jc w:val="both"/>
        <w:rPr>
          <w:sz w:val="22"/>
        </w:rPr>
      </w:pPr>
      <w:r>
        <w:rPr>
          <w:sz w:val="22"/>
        </w:rPr>
        <w:t>In accordance with the procedures set forth in the Agreement, please confirm that the foregoing correctly sets forth the terms of our agreement by executing the copy of this Confirmation enclosed for that purpose and returning it to us or by sending to us a letter substantially similar to this letter, which letter sets forth the material terms of the Transaction to which this Confirmation relates and indicates agreement to those terms.</w:t>
      </w:r>
      <w:r>
        <w:br w:type="page"/>
      </w:r>
    </w:p>
    <w:p>
      <w:pPr>
        <w:pStyle w:val="Normal"/>
        <w:widowControl/>
        <w:jc w:val="both"/>
        <w:rPr>
          <w:sz w:val="22"/>
        </w:rPr>
      </w:pPr>
      <w:r>
        <w:rPr>
          <w:sz w:val="22"/>
        </w:rPr>
      </w:r>
    </w:p>
    <w:p>
      <w:pPr>
        <w:pStyle w:val="Normal"/>
        <w:widowControl/>
        <w:ind w:firstLine="720" w:end="0"/>
        <w:jc w:val="both"/>
        <w:rPr>
          <w:sz w:val="22"/>
        </w:rPr>
      </w:pPr>
      <w:r>
        <w:rPr>
          <w:sz w:val="22"/>
        </w:rPr>
        <w:t>Enron Capital &amp; Trade Resources Canada Corp. is pleased to have entered into this Transaction with you.</w:t>
      </w:r>
    </w:p>
    <w:p>
      <w:pPr>
        <w:pStyle w:val="Normal"/>
        <w:widowControl/>
        <w:jc w:val="both"/>
        <w:rPr>
          <w:sz w:val="22"/>
        </w:rPr>
      </w:pPr>
      <w:r>
        <w:rPr>
          <w:sz w:val="22"/>
        </w:rPr>
      </w:r>
    </w:p>
    <w:p>
      <w:pPr>
        <w:pStyle w:val="Normal"/>
        <w:keepNext w:val="true"/>
        <w:widowControl/>
        <w:ind w:firstLine="720" w:start="4320" w:end="0"/>
        <w:rPr>
          <w:sz w:val="22"/>
        </w:rPr>
      </w:pPr>
      <w:r>
        <w:rPr>
          <w:sz w:val="22"/>
        </w:rPr>
      </w:r>
    </w:p>
    <w:p>
      <w:pPr>
        <w:pStyle w:val="Normal"/>
        <w:keepNext w:val="true"/>
        <w:widowControl/>
        <w:ind w:firstLine="720" w:start="4320" w:end="0"/>
        <w:rPr>
          <w:sz w:val="22"/>
        </w:rPr>
      </w:pPr>
      <w:r>
        <w:rPr>
          <w:sz w:val="22"/>
        </w:rPr>
        <w:t>Yours sincerely,</w:t>
      </w:r>
    </w:p>
    <w:p>
      <w:pPr>
        <w:pStyle w:val="Normal"/>
        <w:keepNext w:val="true"/>
        <w:widowControl/>
        <w:rPr>
          <w:sz w:val="22"/>
        </w:rPr>
      </w:pPr>
      <w:r>
        <w:rPr>
          <w:sz w:val="22"/>
        </w:rPr>
      </w:r>
    </w:p>
    <w:p>
      <w:pPr>
        <w:pStyle w:val="Normal"/>
        <w:keepNext w:val="true"/>
        <w:widowControl/>
        <w:ind w:start="5040" w:end="0"/>
        <w:rPr>
          <w:b/>
          <w:sz w:val="22"/>
        </w:rPr>
      </w:pPr>
      <w:r>
        <w:rPr>
          <w:sz w:val="22"/>
        </w:rPr>
        <w:t>Enron Capital &amp; Trade Resources Canada Corp.</w:t>
      </w:r>
    </w:p>
    <w:p>
      <w:pPr>
        <w:pStyle w:val="Normal"/>
        <w:keepNext w:val="true"/>
        <w:widowControl/>
        <w:rPr>
          <w:b/>
          <w:sz w:val="22"/>
        </w:rPr>
      </w:pPr>
      <w:r>
        <w:rPr>
          <w:b/>
          <w:sz w:val="22"/>
        </w:rPr>
      </w:r>
    </w:p>
    <w:p>
      <w:pPr>
        <w:pStyle w:val="Normal"/>
        <w:keepNext w:val="true"/>
        <w:widowControl/>
        <w:rPr>
          <w:sz w:val="22"/>
        </w:rPr>
      </w:pPr>
      <w:r>
        <w:rPr>
          <w:sz w:val="22"/>
        </w:rPr>
      </w:r>
    </w:p>
    <w:p>
      <w:pPr>
        <w:pStyle w:val="Normal"/>
        <w:keepNext w:val="true"/>
        <w:widowControl/>
        <w:ind w:firstLine="720" w:start="4320" w:end="0"/>
        <w:rPr>
          <w:sz w:val="22"/>
        </w:rPr>
      </w:pPr>
      <w:r>
        <w:rPr>
          <w:sz w:val="22"/>
        </w:rPr>
        <w:t>By:</w:t>
        <w:tab/>
        <w:t>_____________________________</w:t>
      </w:r>
    </w:p>
    <w:p>
      <w:pPr>
        <w:pStyle w:val="Normal"/>
        <w:keepNext w:val="true"/>
        <w:widowControl/>
        <w:ind w:firstLine="720" w:start="4320" w:end="0"/>
        <w:rPr>
          <w:sz w:val="22"/>
        </w:rPr>
      </w:pPr>
      <w:r>
        <w:rPr>
          <w:sz w:val="22"/>
        </w:rPr>
        <w:t>Name:</w:t>
        <w:tab/>
        <w:t>_____________________________</w:t>
      </w:r>
    </w:p>
    <w:p>
      <w:pPr>
        <w:pStyle w:val="Normal"/>
        <w:keepNext w:val="true"/>
        <w:widowControl/>
        <w:ind w:firstLine="720" w:start="4320" w:end="0"/>
        <w:rPr>
          <w:sz w:val="22"/>
        </w:rPr>
      </w:pPr>
      <w:r>
        <w:rPr>
          <w:sz w:val="22"/>
        </w:rPr>
        <w:t>Title:</w:t>
        <w:tab/>
        <w:t>_____________________________</w:t>
      </w:r>
    </w:p>
    <w:p>
      <w:pPr>
        <w:pStyle w:val="Normal"/>
        <w:keepNext w:val="true"/>
        <w:widowControl/>
        <w:rPr>
          <w:sz w:val="22"/>
        </w:rPr>
      </w:pPr>
      <w:r>
        <w:rPr>
          <w:sz w:val="22"/>
        </w:rPr>
      </w:r>
    </w:p>
    <w:p>
      <w:pPr>
        <w:pStyle w:val="Normal"/>
        <w:keepNext w:val="true"/>
        <w:widowControl/>
        <w:rPr>
          <w:sz w:val="22"/>
        </w:rPr>
      </w:pPr>
      <w:r>
        <w:rPr>
          <w:sz w:val="22"/>
        </w:rPr>
        <w:t>Confirmed as of the date first above written:</w:t>
      </w:r>
    </w:p>
    <w:p>
      <w:pPr>
        <w:pStyle w:val="Normal"/>
        <w:keepNext w:val="true"/>
        <w:widowControl/>
        <w:rPr>
          <w:sz w:val="22"/>
        </w:rPr>
      </w:pPr>
      <w:r>
        <w:rPr>
          <w:sz w:val="22"/>
        </w:rPr>
      </w:r>
    </w:p>
    <w:p>
      <w:pPr>
        <w:pStyle w:val="Normal"/>
        <w:keepNext w:val="true"/>
        <w:widowControl/>
        <w:rPr>
          <w:sz w:val="22"/>
        </w:rPr>
      </w:pPr>
      <w:r>
        <w:rPr>
          <w:sz w:val="22"/>
        </w:rPr>
        <w:t>Irving Pulp &amp; Paper, Limited</w:t>
      </w:r>
    </w:p>
    <w:p>
      <w:pPr>
        <w:pStyle w:val="Normal"/>
        <w:keepNext w:val="true"/>
        <w:widowControl/>
        <w:rPr>
          <w:sz w:val="22"/>
        </w:rPr>
      </w:pPr>
      <w:r>
        <w:rPr>
          <w:sz w:val="22"/>
        </w:rPr>
      </w:r>
    </w:p>
    <w:p>
      <w:pPr>
        <w:pStyle w:val="Normal"/>
        <w:keepNext w:val="true"/>
        <w:widowControl/>
        <w:rPr>
          <w:sz w:val="22"/>
        </w:rPr>
      </w:pPr>
      <w:r>
        <w:rPr>
          <w:sz w:val="22"/>
        </w:rPr>
      </w:r>
    </w:p>
    <w:p>
      <w:pPr>
        <w:pStyle w:val="Normal"/>
        <w:keepNext w:val="true"/>
        <w:widowControl/>
        <w:rPr>
          <w:sz w:val="22"/>
        </w:rPr>
      </w:pPr>
      <w:r>
        <w:rPr>
          <w:sz w:val="22"/>
        </w:rPr>
        <w:t>By:</w:t>
        <w:tab/>
        <w:t>_____________________________</w:t>
      </w:r>
    </w:p>
    <w:p>
      <w:pPr>
        <w:pStyle w:val="Normal"/>
        <w:keepNext w:val="true"/>
        <w:widowControl/>
        <w:rPr>
          <w:sz w:val="22"/>
        </w:rPr>
      </w:pPr>
      <w:r>
        <w:rPr>
          <w:sz w:val="22"/>
        </w:rPr>
        <w:t>Name:</w:t>
        <w:tab/>
        <w:t>_____________________________</w:t>
      </w:r>
    </w:p>
    <w:p>
      <w:pPr>
        <w:pStyle w:val="Normal"/>
        <w:keepNext w:val="true"/>
        <w:widowControl/>
        <w:rPr>
          <w:sz w:val="22"/>
        </w:rPr>
      </w:pPr>
      <w:r>
        <w:rPr>
          <w:sz w:val="22"/>
        </w:rPr>
        <w:t>Title:</w:t>
        <w:tab/>
        <w:t>_____________________________</w:t>
      </w:r>
    </w:p>
    <w:p>
      <w:pPr>
        <w:pStyle w:val="Normal"/>
        <w:keepNext w:val="true"/>
        <w:widowControl/>
        <w:rPr>
          <w:sz w:val="22"/>
        </w:rPr>
      </w:pPr>
      <w:r>
        <w:rPr>
          <w:sz w:val="22"/>
        </w:rPr>
      </w:r>
    </w:p>
    <w:sectPr>
      <w:headerReference w:type="default" r:id="rId3"/>
      <w:footerReference w:type="default" r:id="rId4"/>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rStyle w:val="PageNumber"/>
        <w:sz w:val="24"/>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70485" cy="161925"/>
              <wp:effectExtent l="0" t="0" r="0" b="0"/>
              <wp:wrapSquare wrapText="bothSides"/>
              <wp:docPr id="2" name="Frame1"/>
              <a:graphic xmlns:a="http://schemas.openxmlformats.org/drawingml/2006/main">
                <a:graphicData uri="http://schemas.microsoft.com/office/word/2010/wordprocessingShape">
                  <wps:wsp>
                    <wps:cNvSpPr txBox="1"/>
                    <wps:spPr>
                      <a:xfrm>
                        <a:off x="0" y="0"/>
                        <a:ext cx="70485" cy="161925"/>
                      </a:xfrm>
                      <a:prstGeom prst="rect"/>
                      <a:solidFill>
                        <a:srgbClr val="FFFFFF">
                          <a:alpha val="0"/>
                        </a:srgbClr>
                      </a:solidFill>
                    </wps:spPr>
                    <wps:txbx>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txbxContent>
                    </wps:txbx>
                    <wps:bodyPr anchor="t" lIns="0" tIns="0" rIns="0" bIns="0">
                      <a:noAutofit/>
                    </wps:bodyPr>
                  </wps:wsp>
                </a:graphicData>
              </a:graphic>
            </wp:anchor>
          </w:drawing>
        </mc:Choice>
        <mc:Fallback>
          <w:pict>
            <v:rect fillcolor="#FFFFFF" style="position:absolute;rotation:-0;width:5.55pt;height:12.75pt;mso-wrap-distance-left:0pt;mso-wrap-distance-right:0pt;mso-wrap-distance-top:0pt;mso-wrap-distance-bottom:0pt;margin-top:0.05pt;mso-position-vertical-relative:text;margin-left:231.25pt;mso-position-horizontal:center;mso-position-horizontal-relative:margin">
              <v:fill opacity="0f"/>
              <v:textbox inset="0in,0in,0in,0in">
                <w:txbxContent>
                  <w:p>
                    <w:pPr>
                      <w:pStyle w:val="Footer"/>
                      <w:widowControl/>
                      <w:rPr>
                        <w:rStyle w:val="PageNumber"/>
                        <w:sz w:val="22"/>
                      </w:rPr>
                    </w:pP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2"/>
      </w:rPr>
    </w:pPr>
    <w:r>
      <w:rPr>
        <w:sz w:val="22"/>
      </w:rPr>
      <w:t>Deal No. N01673.1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widowControl/>
      <w:jc w:val="center"/>
    </w:pPr>
    <w:rPr>
      <w:b/>
      <w:sz w:val="22"/>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z w:val="24"/>
    </w:rPr>
  </w:style>
  <w:style w:type="paragraph" w:styleId="BodyTextIndent">
    <w:name w:val="Body Text Indent"/>
    <w:basedOn w:val="Normal"/>
    <w:pPr>
      <w:widowControl/>
      <w:ind w:firstLine="720" w:start="0" w:end="0"/>
      <w:jc w:val="both"/>
    </w:pPr>
    <w:rPr>
      <w:sz w:val="22"/>
    </w:rPr>
  </w:style>
  <w:style w:type="paragraph" w:styleId="BodyTextIndent2">
    <w:name w:val="Body Text Indent 2"/>
    <w:basedOn w:val="Normal"/>
    <w:qFormat/>
    <w:pPr>
      <w:widowControl/>
      <w:ind w:hanging="4770" w:start="477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1999-08-09T16:31:00Z</dcterms:created>
  <dc:creator>Enron</dc:creator>
  <dc:description/>
  <dc:language>en-CA</dc:language>
  <cp:lastModifiedBy>dneuner</cp:lastModifiedBy>
  <cp:lastPrinted>1999-08-06T14:27:00Z</cp:lastPrinted>
  <dcterms:modified xsi:type="dcterms:W3CDTF">1999-08-12T11:59:00Z</dcterms:modified>
  <cp:revision>8</cp:revision>
  <dc:subject/>
  <dc:title>[ECT LETTERHEAD]</dc:title>
</cp:coreProperties>
</file>