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144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left" w:pos="-720" w:leader="none"/>
          <w:tab w:val="left" w:pos="144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left" w:pos="-720" w:leader="none"/>
          <w:tab w:val="left" w:pos="1440" w:leader="none"/>
        </w:tabs>
        <w:suppressAutoHyphens w:val="true"/>
        <w:ind w:start="1008" w:end="0"/>
        <w:rPr>
          <w:rFonts w:ascii="Baskerville Old Face" w:hAnsi="Baskerville Old Face" w:cs="Baskerville Old Face"/>
          <w:spacing w:val="-3"/>
          <w:sz w:val="28"/>
        </w:rPr>
      </w:pPr>
      <w:r>
        <w:rPr>
          <w:rFonts w:eastAsia="Baskerville Old Face" w:cs="Baskerville Old Face" w:ascii="Baskerville Old Face" w:hAnsi="Baskerville Old Face"/>
          <w:spacing w:val="-3"/>
          <w:sz w:val="28"/>
        </w:rPr>
        <w:t xml:space="preserve"> </w:t>
      </w:r>
      <w:r>
        <w:rPr>
          <w:i/>
          <w:spacing w:val="-7"/>
          <w:sz w:val="48"/>
        </w:rPr>
        <w:t xml:space="preserve">Western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Systems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Coordinating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Council</w:t>
      </w:r>
    </w:p>
    <w:p>
      <w:pPr>
        <w:pStyle w:val="Normal"/>
        <w:rPr>
          <w:rFonts w:ascii="Baskerville Old Face" w:hAnsi="Baskerville Old Face" w:cs="Baskerville Old Face"/>
          <w:spacing w:val="-3"/>
          <w:sz w:val="28"/>
        </w:rPr>
      </w:pPr>
      <w:r>
        <w:rPr>
          <w:rFonts w:cs="Baskerville Old Face" w:ascii="Baskerville Old Face" w:hAnsi="Baskerville Old Face"/>
          <w:spacing w:val="-3"/>
          <w:sz w:val="28"/>
        </w:rPr>
      </w:r>
    </w:p>
    <w:p>
      <w:pPr>
        <w:pStyle w:val="Index1"/>
        <w:tabs>
          <w:tab w:val="left" w:pos="1440" w:leader="none"/>
          <w:tab w:val="center" w:pos="7470" w:leader="none"/>
        </w:tabs>
        <w:spacing w:before="0" w:after="0"/>
        <w:ind w:end="1890"/>
        <w:rPr>
          <w:rFonts w:ascii="Times New Roman" w:hAnsi="Times New Roman" w:cs="Times New Roman"/>
          <w:caps w:val="false"/>
          <w:smallCaps w:val="false"/>
          <w:sz w:val="18"/>
        </w:rPr>
      </w:pPr>
      <w:r>
        <w:rPr>
          <w:rFonts w:cs="Times New Roman" w:ascii="Times New Roman" w:hAnsi="Times New Roman"/>
          <w:caps w:val="false"/>
          <w:smallCaps w:val="false"/>
          <w:sz w:val="18"/>
        </w:rPr>
        <w:tab/>
        <w:tab/>
        <w:t>THOMAS E. HENDRICKS</w:t>
      </w:r>
    </w:p>
    <w:p>
      <w:pPr>
        <w:pStyle w:val="Normal"/>
        <w:rPr>
          <w:rFonts w:ascii="Times New Roman" w:hAnsi="Times New Roman" w:cs="Times New Roman"/>
          <w:caps/>
          <w:sz w:val="18"/>
        </w:rPr>
      </w:pPr>
      <w:r>
        <w:rPr>
          <w:rFonts w:cs="Times New Roman" w:ascii="Times New Roman" w:hAnsi="Times New Roman"/>
          <w:caps/>
          <w:sz w:val="18"/>
        </w:rPr>
      </w:r>
    </w:p>
    <w:p>
      <w:pPr>
        <w:pStyle w:val="Normal"/>
        <w:tabs>
          <w:tab w:val="left" w:pos="1440" w:leader="none"/>
          <w:tab w:val="center" w:pos="7470" w:leader="none"/>
        </w:tabs>
        <w:ind w:end="1890"/>
        <w:rPr/>
      </w:pPr>
      <w:r>
        <w:rPr/>
        <w:tab/>
        <w:tab/>
      </w:r>
      <w:r>
        <w:rPr>
          <w:rFonts w:cs="Times New Roman" w:ascii="Times New Roman" w:hAnsi="Times New Roman"/>
          <w:sz w:val="14"/>
        </w:rPr>
        <w:t xml:space="preserve">Tenaska </w:t>
      </w:r>
    </w:p>
    <w:p>
      <w:pPr>
        <w:pStyle w:val="BodyText2"/>
        <w:tabs>
          <w:tab w:val="left" w:pos="1440" w:leader="none"/>
          <w:tab w:val="center" w:pos="7470" w:leader="none"/>
        </w:tabs>
        <w:ind w:start="5400" w:end="1890"/>
        <w:rPr/>
      </w:pPr>
      <w:r>
        <w:rPr/>
        <w:tab/>
        <w:t>1044 No. 115</w:t>
      </w:r>
      <w:r>
        <w:rPr>
          <w:vertAlign w:val="superscript"/>
        </w:rPr>
        <w:t>th</w:t>
      </w:r>
      <w:r>
        <w:rPr/>
        <w:t xml:space="preserve"> Street</w:t>
      </w:r>
    </w:p>
    <w:p>
      <w:pPr>
        <w:pStyle w:val="BodyText2"/>
        <w:tabs>
          <w:tab w:val="left" w:pos="1440" w:leader="none"/>
          <w:tab w:val="center" w:pos="7470" w:leader="none"/>
        </w:tabs>
        <w:ind w:start="5400" w:end="1890"/>
        <w:rPr/>
      </w:pPr>
      <w:r>
        <w:rPr/>
        <w:tab/>
        <w:t>OMAHA, NE 68154-4446</w:t>
      </w:r>
    </w:p>
    <w:p>
      <w:pPr>
        <w:pStyle w:val="BodyText2"/>
        <w:tabs>
          <w:tab w:val="left" w:pos="1440" w:leader="none"/>
          <w:tab w:val="center" w:pos="7470" w:leader="none"/>
        </w:tabs>
        <w:ind w:start="5400" w:end="1890"/>
        <w:rPr/>
      </w:pPr>
      <w:r>
        <w:rPr/>
        <w:tab/>
        <w:t>TEL: (402) 691-9507</w:t>
      </w:r>
    </w:p>
    <w:p>
      <w:pPr>
        <w:pStyle w:val="BodyText2"/>
        <w:tabs>
          <w:tab w:val="left" w:pos="1440" w:leader="none"/>
          <w:tab w:val="center" w:pos="7470" w:leader="none"/>
        </w:tabs>
        <w:ind w:start="5400" w:end="1890"/>
        <w:rPr/>
      </w:pPr>
      <w:r>
        <w:rPr/>
        <w:tab/>
        <w:t>FAX: (402) 691-9575</w:t>
      </w:r>
    </w:p>
    <w:p>
      <w:pPr>
        <w:pStyle w:val="BodyText2"/>
        <w:tabs>
          <w:tab w:val="left" w:pos="1440" w:leader="none"/>
          <w:tab w:val="center" w:pos="7470" w:leader="none"/>
        </w:tabs>
        <w:ind w:start="5400" w:end="1890"/>
        <w:rPr/>
      </w:pPr>
      <w:r>
        <w:rPr/>
        <w:tab/>
        <w:t xml:space="preserve">EM: </w:t>
      </w:r>
      <w:hyperlink r:id="rId4">
        <w:r>
          <w:rPr>
            <w:rStyle w:val="Hyperlink"/>
          </w:rPr>
          <w:t>thendricks@tenaska.com</w:t>
        </w:r>
      </w:hyperlink>
    </w:p>
    <w:p>
      <w:pPr>
        <w:pStyle w:val="BodyText2"/>
        <w:tabs>
          <w:tab w:val="left" w:pos="1440" w:leader="none"/>
          <w:tab w:val="center" w:pos="7470" w:leader="none"/>
        </w:tabs>
        <w:ind w:start="5400" w:end="1890"/>
        <w:rPr/>
      </w:pPr>
      <w:r>
        <w:rPr/>
      </w:r>
    </w:p>
    <w:p>
      <w:pPr>
        <w:pStyle w:val="Index1"/>
        <w:tabs>
          <w:tab w:val="left" w:pos="1440" w:leader="none"/>
        </w:tabs>
        <w:spacing w:before="0" w:after="0"/>
        <w:rPr>
          <w:rFonts w:ascii="Times New Roman" w:hAnsi="Times New Roman" w:cs="Times New Roman"/>
          <w:caps w:val="false"/>
          <w:smallCaps w:val="false"/>
        </w:rPr>
      </w:pPr>
      <w:r>
        <w:rPr>
          <w:rFonts w:cs="Times New Roman" w:ascii="Times New Roman" w:hAnsi="Times New Roman"/>
          <w:caps w:val="false"/>
          <w:smallCaps w:val="false"/>
        </w:rPr>
      </w:r>
    </w:p>
    <w:p>
      <w:pPr>
        <w:pStyle w:val="Index1"/>
        <w:tabs>
          <w:tab w:val="left" w:pos="1440" w:leader="none"/>
        </w:tabs>
        <w:spacing w:before="0" w:after="0"/>
        <w:rPr>
          <w:rFonts w:ascii="Times New Roman" w:hAnsi="Times New Roman" w:cs="Times New Roman"/>
          <w:caps w:val="false"/>
          <w:smallCaps w:val="false"/>
        </w:rPr>
      </w:pPr>
      <w:r>
        <w:rPr>
          <w:rFonts w:cs="Times New Roman" w:ascii="Times New Roman" w:hAnsi="Times New Roman"/>
          <w:caps w:val="false"/>
          <w:smallCaps w:val="false"/>
        </w:rPr>
        <w:t>February 21, 2001</w:t>
      </w:r>
    </w:p>
    <w:p>
      <w:pPr>
        <w:pStyle w:val="Normal"/>
        <w:rPr>
          <w:rFonts w:ascii="Times New Roman" w:hAnsi="Times New Roman" w:cs="Times New Roman"/>
          <w:caps/>
        </w:rPr>
      </w:pPr>
      <w:r>
        <w:rPr>
          <w:rFonts w:cs="Times New Roman" w:ascii="Times New Roman" w:hAnsi="Times New Roman"/>
          <w:cap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INDEPENDENT POWER PRODUCERS</w:t>
      </w:r>
    </w:p>
    <w:p>
      <w:pPr>
        <w:pStyle w:val="Normal"/>
        <w:jc w:val="end"/>
        <w:rPr>
          <w:rFonts w:ascii="Times New Roman" w:hAnsi="Times New Roman" w:cs="Times New Roman"/>
        </w:rPr>
      </w:pPr>
      <w:r>
        <w:rPr>
          <w:rFonts w:cs="Times New Roman" w:ascii="Times New Roman" w:hAnsi="Times New Roman"/>
        </w:rPr>
      </w:r>
    </w:p>
    <w:p>
      <w:pPr>
        <w:pStyle w:val="BodyTextIndent"/>
        <w:tabs>
          <w:tab w:val="left" w:pos="1440" w:leader="none"/>
          <w:tab w:val="left" w:pos="5580" w:leader="none"/>
        </w:tabs>
        <w:ind w:start="5580" w:end="0"/>
        <w:rPr>
          <w:rFonts w:ascii="Times New Roman" w:hAnsi="Times New Roman" w:cs="Times New Roman"/>
        </w:rPr>
      </w:pPr>
      <w:r>
        <w:rPr>
          <w:rFonts w:cs="Times New Roman"/>
        </w:rPr>
      </w:r>
    </w:p>
    <w:p>
      <w:pPr>
        <w:pStyle w:val="BodyTextIndent"/>
        <w:tabs>
          <w:tab w:val="left" w:pos="1440" w:leader="none"/>
          <w:tab w:val="left" w:pos="5580" w:leader="none"/>
        </w:tabs>
        <w:ind w:start="5580" w:end="0"/>
        <w:rPr/>
      </w:pPr>
      <w:r>
        <w:rPr/>
        <w:t>Subject:  Reliability Compliance Committee Nominations</w:t>
      </w:r>
    </w:p>
    <w:p>
      <w:pPr>
        <w:pStyle w:val="Normal"/>
        <w:jc w:val="end"/>
        <w:rPr>
          <w:rFonts w:ascii="Times New Roman" w:hAnsi="Times New Roman" w:cs="Times New Roman"/>
        </w:rPr>
      </w:pPr>
      <w:r>
        <w:rPr>
          <w:rFonts w:cs="Times New Roman" w:ascii="Times New Roman" w:hAnsi="Times New Roman"/>
        </w:rPr>
      </w:r>
    </w:p>
    <w:p>
      <w:pPr>
        <w:pStyle w:val="BodyText2"/>
        <w:tabs>
          <w:tab w:val="left" w:pos="1440" w:leader="none"/>
          <w:tab w:val="center" w:pos="7470" w:leader="none"/>
        </w:tabs>
        <w:ind w:end="0"/>
        <w:rPr>
          <w:rFonts w:ascii="Times New Roman" w:hAnsi="Times New Roman" w:cs="Times New Roman"/>
          <w:sz w:val="24"/>
        </w:rPr>
      </w:pPr>
      <w:r>
        <w:rPr>
          <w:rFonts w:cs="Times New Roman"/>
          <w:sz w:val="24"/>
        </w:rPr>
      </w:r>
    </w:p>
    <w:p>
      <w:pPr>
        <w:pStyle w:val="BodyText2"/>
        <w:tabs>
          <w:tab w:val="left" w:pos="1440" w:leader="none"/>
          <w:tab w:val="center" w:pos="7470" w:leader="none"/>
        </w:tabs>
        <w:ind w:end="0"/>
        <w:rPr>
          <w:sz w:val="24"/>
        </w:rPr>
      </w:pPr>
      <w:r>
        <w:rPr>
          <w:sz w:val="24"/>
        </w:rPr>
        <w:t>The Reliability Compliance Committee (RCC) is an important element of the Reliability Management System (RMS), and a description of the RCC’s purpose is attached.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xml:space="preserve">This letter is to solicit nominations for the alternate position on the RCC representing the Independent Power Producers (IPP) sector. The IPP alternate position on the RCC has recently become vacant. It is very important that this position be filled in an expeditious manner.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 current membership terms for the IPP primary and alternate representatives on the RCC will expire on December 31, 2003.  RCC membership nominations are solicited through an open, publicly noticed process, from each of the following seven industry sectors: (1) major transmission owners, (2) transmission dependent utilities, (3) independent power producers, </w:t>
      </w:r>
    </w:p>
    <w:p>
      <w:pPr>
        <w:pStyle w:val="Normal"/>
        <w:rPr>
          <w:rFonts w:ascii="Times New Roman" w:hAnsi="Times New Roman" w:cs="Times New Roman"/>
        </w:rPr>
      </w:pPr>
      <w:r>
        <w:rPr>
          <w:rFonts w:cs="Times New Roman" w:ascii="Times New Roman" w:hAnsi="Times New Roman"/>
        </w:rPr>
        <w:t xml:space="preserve">(4) electric power marketers, (5) state, provincial, or local regulatory bodies, (6) control area and independent system operators, and (7) municipal utilities.  The members of the RCC are appointed by the WSCC Board of Trustees from the candidates nominated.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As the primary representative of the Independent Power Producers (IPP) segment of the industry on the RCC, I am assisting WSCC in obtaining RCC nominations for the alternate position.  Therefore, if you wish to discuss or coordinate nominations for the alternate RCC member position for the IPP category, please contact me by telephone at (402) 691-9507 or by e-mail at thendricks@tenaska.com.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 place a nomination, please complete the attached RCC Nomination Form and return it to:</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Robert L. Dintelman</w:t>
      </w:r>
    </w:p>
    <w:p>
      <w:pPr>
        <w:pStyle w:val="Normal"/>
        <w:jc w:val="center"/>
        <w:rPr>
          <w:rFonts w:ascii="Times New Roman" w:hAnsi="Times New Roman" w:cs="Times New Roman"/>
        </w:rPr>
      </w:pPr>
      <w:r>
        <w:rPr>
          <w:rFonts w:cs="Times New Roman" w:ascii="Times New Roman" w:hAnsi="Times New Roman"/>
        </w:rPr>
        <w:t>Western Systems Coordinating Council</w:t>
      </w:r>
    </w:p>
    <w:p>
      <w:pPr>
        <w:pStyle w:val="Normal"/>
        <w:jc w:val="center"/>
        <w:rPr>
          <w:rFonts w:ascii="Times New Roman" w:hAnsi="Times New Roman" w:cs="Times New Roman"/>
        </w:rPr>
      </w:pPr>
      <w:r>
        <w:rPr>
          <w:rFonts w:cs="Times New Roman" w:ascii="Times New Roman" w:hAnsi="Times New Roman"/>
        </w:rPr>
        <w:t>University of Utah Research Park</w:t>
      </w:r>
    </w:p>
    <w:p>
      <w:pPr>
        <w:pStyle w:val="Normal"/>
        <w:jc w:val="center"/>
        <w:rPr>
          <w:rFonts w:ascii="Times New Roman" w:hAnsi="Times New Roman" w:cs="Times New Roman"/>
        </w:rPr>
      </w:pPr>
      <w:r>
        <w:rPr>
          <w:rFonts w:cs="Times New Roman" w:ascii="Times New Roman" w:hAnsi="Times New Roman"/>
        </w:rPr>
        <w:t>615 Arapeen Drive, Suite 210</w:t>
      </w:r>
    </w:p>
    <w:p>
      <w:pPr>
        <w:pStyle w:val="Normal"/>
        <w:jc w:val="center"/>
        <w:rPr>
          <w:rFonts w:ascii="Times New Roman" w:hAnsi="Times New Roman" w:cs="Times New Roman"/>
        </w:rPr>
      </w:pPr>
      <w:r>
        <w:rPr>
          <w:rFonts w:cs="Times New Roman" w:ascii="Times New Roman" w:hAnsi="Times New Roman"/>
        </w:rPr>
        <w:t>Salt Lake City, Utah 84108-1253</w:t>
      </w:r>
    </w:p>
    <w:p>
      <w:pPr>
        <w:pStyle w:val="Normal"/>
        <w:jc w:val="center"/>
        <w:rPr>
          <w:rFonts w:ascii="Times New Roman" w:hAnsi="Times New Roman" w:cs="Times New Roman"/>
        </w:rPr>
      </w:pPr>
      <w:r>
        <w:rPr>
          <w:rFonts w:cs="Times New Roman" w:ascii="Times New Roman" w:hAnsi="Times New Roman"/>
        </w:rPr>
        <w:t>Fax: (801) 582-3918</w:t>
      </w:r>
    </w:p>
    <w:p>
      <w:pPr>
        <w:pStyle w:val="Normal"/>
        <w:jc w:val="center"/>
        <w:rPr>
          <w:rFonts w:ascii="Times New Roman" w:hAnsi="Times New Roman" w:cs="Times New Roman"/>
        </w:rPr>
      </w:pPr>
      <w:r>
        <w:rPr>
          <w:rFonts w:cs="Times New Roman" w:ascii="Times New Roman" w:hAnsi="Times New Roman"/>
        </w:rPr>
        <w:t>E-mail:  wscc@wscc.com</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Please return all nominations by March 5, 2001.</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 xml:space="preserve">Your ongoing support of the Reliability Management System is critical to its success.  If you have questions or wish to discuss the Reliability Compliance Committee in more detail, please contact Bob Dintelman, RMS Project Manager, at (801) 582-0353, or me at the number listed above.  If you wish, you may also contact Dennis Eyre, WSCC Executive Director, at </w:t>
      </w:r>
    </w:p>
    <w:p>
      <w:pPr>
        <w:pStyle w:val="Normal"/>
        <w:rPr>
          <w:rFonts w:ascii="Times New Roman" w:hAnsi="Times New Roman" w:cs="Times New Roman"/>
        </w:rPr>
      </w:pPr>
      <w:r>
        <w:rPr>
          <w:rFonts w:cs="Times New Roman" w:ascii="Times New Roman" w:hAnsi="Times New Roman"/>
        </w:rPr>
        <w:t>(801) 582-0353.</w:t>
      </w:r>
    </w:p>
    <w:p>
      <w:pPr>
        <w:pStyle w:val="Normal"/>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Sincerely,</w:t>
      </w:r>
    </w:p>
    <w:p>
      <w:pPr>
        <w:pStyle w:val="Normal"/>
        <w:ind w:start="4320" w:end="0"/>
        <w:rPr>
          <w:rFonts w:ascii="Times New Roman" w:hAnsi="Times New Roman" w:cs="Times New Roman"/>
        </w:rPr>
      </w:pPr>
      <w:r>
        <w:rPr>
          <w:rFonts w:cs="Times New Roman" w:ascii="Times New Roman" w:hAnsi="Times New Roman"/>
        </w:rPr>
      </w:r>
    </w:p>
    <w:p>
      <w:pPr>
        <w:pStyle w:val="Normal"/>
        <w:ind w:start="4320" w:end="0"/>
        <w:rPr>
          <w:rFonts w:ascii="Brush Script MT" w:hAnsi="Brush Script MT" w:cs="Brush Script MT"/>
          <w:sz w:val="40"/>
        </w:rPr>
      </w:pPr>
      <w:r>
        <w:rPr>
          <w:rFonts w:cs="Brush Script MT" w:ascii="Brush Script MT" w:hAnsi="Brush Script MT"/>
          <w:sz w:val="40"/>
        </w:rPr>
        <w:t>Thomas E. Hendricks</w:t>
      </w:r>
    </w:p>
    <w:p>
      <w:pPr>
        <w:pStyle w:val="Normal"/>
        <w:rPr>
          <w:rFonts w:ascii="Times New Roman" w:hAnsi="Times New Roman" w:cs="Times New Roman"/>
          <w:sz w:val="40"/>
        </w:rPr>
      </w:pPr>
      <w:r>
        <w:rPr>
          <w:rFonts w:cs="Times New Roman" w:ascii="Times New Roman" w:hAnsi="Times New Roman"/>
          <w:sz w:val="40"/>
        </w:rPr>
      </w:r>
    </w:p>
    <w:p>
      <w:pPr>
        <w:pStyle w:val="Normal"/>
        <w:ind w:start="4320" w:end="0"/>
        <w:rPr>
          <w:rFonts w:ascii="Times New Roman" w:hAnsi="Times New Roman" w:cs="Times New Roman"/>
        </w:rPr>
      </w:pPr>
      <w:r>
        <w:rPr>
          <w:rFonts w:cs="Times New Roman" w:ascii="Times New Roman" w:hAnsi="Times New Roman"/>
        </w:rPr>
        <w:t>Thomas E. Hendricks</w:t>
      </w:r>
    </w:p>
    <w:p>
      <w:pPr>
        <w:pStyle w:val="Normal"/>
        <w:ind w:start="4320" w:end="0"/>
        <w:rPr>
          <w:rFonts w:ascii="Times New Roman" w:hAnsi="Times New Roman" w:cs="Times New Roman"/>
        </w:rPr>
      </w:pPr>
      <w:r>
        <w:rPr>
          <w:rFonts w:cs="Times New Roman" w:ascii="Times New Roman" w:hAnsi="Times New Roman"/>
        </w:rPr>
        <w:t xml:space="preserve">Tenaska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TEH:lm</w:t>
      </w:r>
    </w:p>
    <w:p>
      <w:pPr>
        <w:pStyle w:val="Normal"/>
        <w:rPr>
          <w:rFonts w:ascii="Times New Roman" w:hAnsi="Times New Roman" w:cs="Times New Roman"/>
        </w:rPr>
      </w:pPr>
      <w:r>
        <w:rPr>
          <w:rFonts w:cs="Times New Roman" w:ascii="Times New Roman" w:hAnsi="Times New Roman"/>
        </w:rPr>
        <w:t>attachments</w:t>
      </w:r>
    </w:p>
    <w:p>
      <w:pPr>
        <w:pStyle w:val="Normal"/>
        <w:rPr>
          <w:rFonts w:ascii="Times New Roman" w:hAnsi="Times New Roman" w:cs="Times New Roman"/>
        </w:rPr>
      </w:pPr>
      <w:r>
        <w:rPr>
          <w:rFonts w:cs="Times New Roman" w:ascii="Times New Roman" w:hAnsi="Times New Roman"/>
        </w:rPr>
      </w:r>
    </w:p>
    <w:p>
      <w:pPr>
        <w:pStyle w:val="Normal"/>
        <w:tabs>
          <w:tab w:val="clear" w:pos="1440"/>
          <w:tab w:val="left" w:pos="450" w:leader="none"/>
        </w:tabs>
        <w:ind w:hanging="450" w:start="450" w:end="0"/>
        <w:rPr>
          <w:rFonts w:ascii="Times New Roman" w:hAnsi="Times New Roman" w:cs="Times New Roman"/>
        </w:rPr>
      </w:pPr>
      <w:r>
        <w:rPr>
          <w:rFonts w:cs="Times New Roman" w:ascii="Times New Roman" w:hAnsi="Times New Roman"/>
        </w:rPr>
        <w:t>cc:</w:t>
        <w:tab/>
        <w:t>Executive Committee</w:t>
      </w:r>
    </w:p>
    <w:p>
      <w:pPr>
        <w:pStyle w:val="Normal"/>
        <w:tabs>
          <w:tab w:val="clear" w:pos="1440"/>
          <w:tab w:val="left" w:pos="450" w:leader="none"/>
        </w:tabs>
        <w:ind w:hanging="450" w:start="450" w:end="0"/>
        <w:rPr>
          <w:rFonts w:ascii="Times New Roman" w:hAnsi="Times New Roman" w:cs="Times New Roman"/>
        </w:rPr>
      </w:pPr>
      <w:r>
        <w:rPr>
          <w:rFonts w:cs="Times New Roman" w:ascii="Times New Roman" w:hAnsi="Times New Roman"/>
        </w:rPr>
        <w:tab/>
        <w:t>RCC Members</w:t>
      </w:r>
    </w:p>
    <w:p>
      <w:pPr>
        <w:pStyle w:val="Normal"/>
        <w:tabs>
          <w:tab w:val="clear" w:pos="1440"/>
          <w:tab w:val="left" w:pos="450" w:leader="none"/>
        </w:tabs>
        <w:ind w:start="450" w:end="0"/>
        <w:rPr>
          <w:rFonts w:ascii="Times New Roman" w:hAnsi="Times New Roman" w:cs="Times New Roman"/>
        </w:rPr>
      </w:pPr>
      <w:r>
        <w:rPr>
          <w:rFonts w:cs="Times New Roman" w:ascii="Times New Roman" w:hAnsi="Times New Roman"/>
        </w:rPr>
        <w:t>D. E. Eyre, WSCC</w:t>
      </w:r>
    </w:p>
    <w:p>
      <w:pPr>
        <w:pStyle w:val="Normal"/>
        <w:tabs>
          <w:tab w:val="clear" w:pos="1440"/>
          <w:tab w:val="left" w:pos="450" w:leader="none"/>
        </w:tabs>
        <w:ind w:start="450" w:end="0"/>
        <w:rPr>
          <w:rFonts w:ascii="Times New Roman" w:hAnsi="Times New Roman" w:cs="Times New Roman"/>
        </w:rPr>
      </w:pPr>
      <w:r>
        <w:rPr>
          <w:rFonts w:cs="Times New Roman" w:ascii="Times New Roman" w:hAnsi="Times New Roman"/>
        </w:rPr>
        <w:t>R. L. Dintelman, WSCC</w:t>
      </w:r>
    </w:p>
    <w:p>
      <w:pPr>
        <w:pStyle w:val="Normal"/>
        <w:tabs>
          <w:tab w:val="clear" w:pos="1440"/>
          <w:tab w:val="left" w:pos="450" w:leader="none"/>
        </w:tabs>
        <w:ind w:start="450" w:end="0"/>
        <w:rPr>
          <w:rFonts w:ascii="Times New Roman" w:hAnsi="Times New Roman" w:cs="Times New Roman"/>
        </w:rPr>
      </w:pPr>
      <w:r>
        <w:rPr>
          <w:rFonts w:cs="Times New Roman" w:ascii="Times New Roman" w:hAnsi="Times New Roman"/>
        </w:rPr>
        <w:t>EPITF Members</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CPTF Members</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Legal Task Force</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Incentives/Sanctions and Regulatory Task Force</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RMS Legal Contacts</w:t>
      </w:r>
    </w:p>
    <w:p>
      <w:pPr>
        <w:pStyle w:val="BodyText2"/>
        <w:tabs>
          <w:tab w:val="clear" w:pos="1440"/>
          <w:tab w:val="left" w:pos="450" w:leader="none"/>
          <w:tab w:val="left" w:pos="630" w:leader="none"/>
          <w:tab w:val="left" w:pos="4320" w:leader="none"/>
          <w:tab w:val="center" w:pos="7470" w:leader="none"/>
        </w:tabs>
        <w:ind w:start="450" w:end="0"/>
        <w:rPr>
          <w:sz w:val="24"/>
        </w:rPr>
      </w:pPr>
      <w:r>
        <w:rPr>
          <w:sz w:val="24"/>
        </w:rPr>
        <w:tab/>
        <w:t>w/attachments</w:t>
      </w:r>
    </w:p>
    <w:p>
      <w:pPr>
        <w:sectPr>
          <w:type w:val="nextPage"/>
          <w:pgSz w:w="12240" w:h="15840"/>
          <w:pgMar w:left="1440" w:right="1440" w:gutter="0" w:header="0" w:top="1008" w:footer="0" w:bottom="1008"/>
          <w:pgNumType w:fmt="decimal"/>
          <w:formProt w:val="false"/>
          <w:titlePg/>
          <w:textDirection w:val="lrTb"/>
          <w:docGrid w:type="default" w:linePitch="360" w:charSpace="0"/>
        </w:sect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jc w:val="center"/>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/mnt/main-storage/datasets/enron-docs/doc/Ippnomlt_01.doc</w:t>
      </w:r>
      <w:r>
        <w:rPr>
          <w:sz w:val="12"/>
          <w:rFonts w:cs="Times New Roman" w:ascii="Times New Roman" w:hAnsi="Times New Roman"/>
          <w:lang w:eastAsia="en-US"/>
        </w:rPr>
        <w:fldChar w:fldCharType="end"/>
      </w:r>
      <w:r>
        <w:rPr>
          <w:rFonts w:cs="Times New Roman" w:ascii="Times New Roman" w:hAnsi="Times New Roman"/>
          <w:b/>
        </w:rPr>
        <w:t>WESTERN SYSTEMS COORDINATING COUNCIL</w:t>
      </w:r>
    </w:p>
    <w:p>
      <w:pPr>
        <w:pStyle w:val="Heading1"/>
        <w:ind w:hanging="0" w:start="0"/>
        <w:jc w:val="center"/>
        <w:rPr>
          <w:rFonts w:ascii="Times New Roman" w:hAnsi="Times New Roman" w:cs="Times New Roman"/>
          <w:color w:val="auto"/>
        </w:rPr>
      </w:pPr>
      <w:r>
        <w:rPr>
          <w:rFonts w:cs="Times New Roman" w:ascii="Times New Roman" w:hAnsi="Times New Roman"/>
          <w:color w:val="auto"/>
        </w:rPr>
        <w:t>RELIABILITY COMPLIANCE COMMITTEE</w:t>
      </w:r>
    </w:p>
    <w:p>
      <w:pPr>
        <w:pStyle w:val="Normal"/>
        <w:rPr>
          <w:rFonts w:ascii="Times New Roman" w:hAnsi="Times New Roman" w:cs="Times New Roman"/>
          <w:color w:val="auto"/>
        </w:rPr>
      </w:pPr>
      <w:r>
        <w:rPr>
          <w:rFonts w:cs="Times New Roman" w:ascii="Times New Roman" w:hAnsi="Times New Roman"/>
          <w:color w:val="auto"/>
        </w:rPr>
      </w:r>
    </w:p>
    <w:p>
      <w:pPr>
        <w:pStyle w:val="Heading2"/>
        <w:tabs>
          <w:tab w:val="right" w:pos="0" w:leader="none"/>
          <w:tab w:val="left" w:pos="1440" w:leader="none"/>
        </w:tabs>
        <w:ind w:start="0" w:end="0"/>
        <w:rPr>
          <w:rFonts w:ascii="Times New Roman" w:hAnsi="Times New Roman" w:cs="Times New Roman"/>
          <w:color w:val="auto"/>
        </w:rPr>
      </w:pPr>
      <w:r>
        <w:rPr>
          <w:rFonts w:cs="Times New Roman" w:ascii="Times New Roman" w:hAnsi="Times New Roman"/>
          <w:color w:val="auto"/>
        </w:rPr>
        <w:t>PURPOSE</w:t>
      </w:r>
    </w:p>
    <w:p>
      <w:pPr>
        <w:pStyle w:val="Normal"/>
        <w:rPr>
          <w:rFonts w:ascii="Times New Roman" w:hAnsi="Times New Roman" w:cs="Times New Roman"/>
        </w:rPr>
      </w:pPr>
      <w:r>
        <w:rPr>
          <w:rFonts w:cs="Times New Roman" w:ascii="Times New Roman" w:hAnsi="Times New Roman"/>
        </w:rPr>
        <w:t>The WSCC Reliability Compliance Committee (RCC) is an integral part of WSCC’s Reliability Management System (RMS).  The RCC reviews (upon request) appeals regarding initial determinations of noncompliance, periodically reviews the policy of RMS implementation and processes, and makes appropriate recommendations to the WSCC Board of Trustees.</w:t>
      </w:r>
    </w:p>
    <w:p>
      <w:pPr>
        <w:pStyle w:val="Normal"/>
        <w:rPr>
          <w:rFonts w:ascii="Times New Roman" w:hAnsi="Times New Roman" w:cs="Times New Roman"/>
        </w:rPr>
      </w:pPr>
      <w:r>
        <w:rPr>
          <w:rFonts w:cs="Times New Roman" w:ascii="Times New Roman" w:hAnsi="Times New Roman"/>
        </w:rPr>
      </w:r>
    </w:p>
    <w:p>
      <w:pPr>
        <w:pStyle w:val="Heading2"/>
        <w:ind w:start="0" w:end="0"/>
        <w:rPr>
          <w:rFonts w:ascii="Times New Roman" w:hAnsi="Times New Roman" w:cs="Times New Roman"/>
          <w:color w:val="auto"/>
        </w:rPr>
      </w:pPr>
      <w:r>
        <w:rPr>
          <w:rFonts w:cs="Times New Roman" w:ascii="Times New Roman" w:hAnsi="Times New Roman"/>
          <w:color w:val="auto"/>
        </w:rPr>
        <w:t>MEMBERSHIP TERM</w:t>
      </w:r>
    </w:p>
    <w:p>
      <w:pPr>
        <w:pStyle w:val="Normal"/>
        <w:rPr>
          <w:rFonts w:ascii="Times New Roman" w:hAnsi="Times New Roman" w:cs="Times New Roman"/>
        </w:rPr>
      </w:pPr>
      <w:r>
        <w:rPr>
          <w:rFonts w:cs="Times New Roman" w:ascii="Times New Roman" w:hAnsi="Times New Roman"/>
        </w:rPr>
        <w:t>The RCC membership commitment is for a 3-year term (except initially), and the committee is limited to seven members, one from each of the following industry sectors: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Major Transmission Owners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Transmission Dependent Utilities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Independent Power Producers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Electric Power Marketers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State, Provincial, or Local Regulatory Bodies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Control Area and Independent System Operators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Municipal Utilities</w:t>
      </w:r>
    </w:p>
    <w:p>
      <w:pPr>
        <w:pStyle w:val="Normal"/>
        <w:rPr>
          <w:rFonts w:ascii="Times New Roman" w:hAnsi="Times New Roman" w:cs="Times New Roman"/>
        </w:rPr>
      </w:pPr>
      <w:r>
        <w:rPr>
          <w:rFonts w:cs="Times New Roman" w:ascii="Times New Roman" w:hAnsi="Times New Roman"/>
        </w:rPr>
      </w:r>
    </w:p>
    <w:p>
      <w:pPr>
        <w:pStyle w:val="Heading2"/>
        <w:ind w:start="0" w:end="0"/>
        <w:rPr>
          <w:rFonts w:ascii="Times New Roman" w:hAnsi="Times New Roman" w:cs="Times New Roman"/>
          <w:color w:val="auto"/>
        </w:rPr>
      </w:pPr>
      <w:r>
        <w:rPr>
          <w:rFonts w:cs="Times New Roman" w:ascii="Times New Roman" w:hAnsi="Times New Roman"/>
          <w:color w:val="auto"/>
        </w:rPr>
        <w:t>COMMITTEE NOMINATIONS</w:t>
      </w:r>
    </w:p>
    <w:p>
      <w:pPr>
        <w:pStyle w:val="Normal"/>
        <w:rPr>
          <w:rFonts w:ascii="Times New Roman" w:hAnsi="Times New Roman" w:cs="Times New Roman"/>
        </w:rPr>
      </w:pPr>
      <w:r>
        <w:rPr>
          <w:rFonts w:cs="Times New Roman" w:ascii="Times New Roman" w:hAnsi="Times New Roman"/>
        </w:rPr>
        <w:t>RCC membership nominations are solicited through an open, publicly noticed process, from each of the seven industry sectors listed above.  The members of the RCC are appointed by the WSCC Board of Trustees.  For each RCC member there is an alternate member to take his/her place in situations in which the member is employed by the entity being sanctioned or the member is not able to fulfill his/her RCC responsibilities.  The RCC membership shall also reflect, to the extent practical, the geographical and functional diversity of the WSCC membership and so as to include both public and privately owned entities.  The WSCC Board of Trustees shall further endeavor, to the extent practical, to appoint no more than three RCC members at any one time who could qualify as representatives of the same industry sector.</w:t>
      </w:r>
    </w:p>
    <w:p>
      <w:pPr>
        <w:pStyle w:val="Normal"/>
        <w:rPr>
          <w:rFonts w:ascii="Times New Roman" w:hAnsi="Times New Roman" w:cs="Times New Roman"/>
        </w:rPr>
      </w:pPr>
      <w:r>
        <w:rPr>
          <w:rFonts w:cs="Times New Roman" w:ascii="Times New Roman" w:hAnsi="Times New Roman"/>
        </w:rPr>
      </w:r>
    </w:p>
    <w:p>
      <w:pPr>
        <w:pStyle w:val="Heading2"/>
        <w:ind w:start="0" w:end="0"/>
        <w:rPr>
          <w:rFonts w:ascii="Times New Roman" w:hAnsi="Times New Roman" w:cs="Times New Roman"/>
          <w:color w:val="auto"/>
        </w:rPr>
      </w:pPr>
      <w:r>
        <w:rPr>
          <w:rFonts w:cs="Times New Roman" w:ascii="Times New Roman" w:hAnsi="Times New Roman"/>
          <w:color w:val="auto"/>
        </w:rPr>
        <w:t>EXPENSES</w:t>
      </w:r>
    </w:p>
    <w:p>
      <w:pPr>
        <w:sectPr>
          <w:headerReference w:type="default" r:id="rId5"/>
          <w:headerReference w:type="first" r:id="rId6"/>
          <w:type w:val="nextPage"/>
          <w:pgSz w:w="12240" w:h="15840"/>
          <w:pgMar w:left="1440" w:right="1440" w:gutter="0" w:header="720" w:top="1440" w:footer="0" w:bottom="1440"/>
          <w:pgNumType w:fmt="decimal"/>
          <w:formProt w:val="false"/>
          <w:titlePg/>
          <w:textDirection w:val="lrTb"/>
          <w:docGrid w:type="default" w:linePitch="360" w:charSpace="0"/>
        </w:sectPr>
        <w:pStyle w:val="Normal"/>
        <w:rPr/>
      </w:pPr>
      <w:r>
        <w:rPr/>
        <w:t>Each RCC member shall be responsible for his/her costs to participate on the RCC, except that regulatory representatives will be reimbursed for their out-of-pocket costs.  RCC members will receive no compensation from the WSCC for service on the RCC.</w:t>
      </w:r>
    </w:p>
    <w:tbl>
      <w:tblPr>
        <w:tblW w:w="8856" w:type="dxa"/>
        <w:jc w:val="start"/>
        <w:tblInd w:w="0" w:type="dxa"/>
        <w:tblLayout w:type="fixed"/>
        <w:tblCellMar>
          <w:top w:w="0" w:type="dxa"/>
          <w:start w:w="108" w:type="dxa"/>
          <w:bottom w:w="0" w:type="dxa"/>
          <w:end w:w="108" w:type="dxa"/>
        </w:tblCellMar>
      </w:tblPr>
      <w:tblGrid>
        <w:gridCol w:w="8856"/>
      </w:tblGrid>
      <w:tr>
        <w:trPr>
          <w:trHeight w:val="550" w:hRule="atLeast"/>
        </w:trPr>
        <w:tc>
          <w:tcPr>
            <w:tcW w:w="8856" w:type="dxa"/>
            <w:tcBorders/>
          </w:tcPr>
          <w:p>
            <w:pPr>
              <w:pStyle w:val="Normal"/>
              <w:snapToGrid w:val="false"/>
              <w:jc w:val="center"/>
              <w:rPr>
                <w:rFonts w:ascii="Times New Roman" w:hAnsi="Times New Roman" w:cs="Times New Roman"/>
                <w:b/>
                <w:sz w:val="23"/>
              </w:rPr>
            </w:pPr>
            <w:r>
              <w:rPr>
                <w:rFonts w:cs="Times New Roman" w:ascii="Times New Roman" w:hAnsi="Times New Roman"/>
                <w:b/>
                <w:sz w:val="23"/>
              </w:rPr>
            </w:r>
          </w:p>
          <w:p>
            <w:pPr>
              <w:pStyle w:val="Normal"/>
              <w:jc w:val="center"/>
              <w:rPr>
                <w:rFonts w:ascii="Times New Roman" w:hAnsi="Times New Roman" w:cs="Times New Roman"/>
                <w:b/>
                <w:sz w:val="23"/>
              </w:rPr>
            </w:pPr>
            <w:r>
              <w:rPr>
                <w:rFonts w:cs="Times New Roman" w:ascii="Times New Roman" w:hAnsi="Times New Roman"/>
                <w:b/>
                <w:sz w:val="23"/>
              </w:rPr>
              <w:t>NOMINATION FORM</w:t>
            </w:r>
          </w:p>
          <w:p>
            <w:pPr>
              <w:pStyle w:val="Normal"/>
              <w:jc w:val="center"/>
              <w:rPr>
                <w:rFonts w:ascii="Times New Roman" w:hAnsi="Times New Roman" w:cs="Times New Roman"/>
                <w:b/>
                <w:sz w:val="23"/>
              </w:rPr>
            </w:pPr>
            <w:r>
              <w:rPr>
                <w:rFonts w:cs="Times New Roman" w:ascii="Times New Roman" w:hAnsi="Times New Roman"/>
                <w:b/>
                <w:sz w:val="23"/>
              </w:rPr>
              <w:t>WSCC RELIABILITY COMPLIANCE COMMITTEE</w:t>
            </w:r>
          </w:p>
          <w:p>
            <w:pPr>
              <w:pStyle w:val="Normal"/>
              <w:jc w:val="center"/>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snapToGrid w:val="false"/>
              <w:rPr>
                <w:rFonts w:ascii="Times New Roman" w:hAnsi="Times New Roman" w:cs="Times New Roman"/>
                <w:sz w:val="23"/>
              </w:rPr>
            </w:pPr>
            <w:r>
              <w:rPr>
                <w:rFonts w:cs="Times New Roman" w:ascii="Times New Roman" w:hAnsi="Times New Roman"/>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Name of Person Nominated:</w:t>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Name of Organization:</w:t>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Telephone Number:</w:t>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Fax Number:</w:t>
              <w:tab/>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E-mail Address:</w:t>
              <w:tab/>
              <w:t>_____________________________________________</w:t>
            </w:r>
          </w:p>
        </w:tc>
      </w:tr>
      <w:tr>
        <w:trPr/>
        <w:tc>
          <w:tcPr>
            <w:tcW w:w="8856" w:type="dxa"/>
            <w:tcBorders/>
          </w:tcPr>
          <w:p>
            <w:pPr>
              <w:pStyle w:val="Normal"/>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snapToGrid w:val="false"/>
              <w:rPr>
                <w:rFonts w:ascii="Times New Roman" w:hAnsi="Times New Roman" w:cs="Times New Roman"/>
                <w:b/>
                <w:sz w:val="23"/>
              </w:rPr>
            </w:pPr>
            <w:r>
              <w:rPr>
                <w:rFonts w:cs="Times New Roman" w:ascii="Times New Roman" w:hAnsi="Times New Roman"/>
                <w:b/>
                <w:sz w:val="23"/>
              </w:rPr>
            </w:r>
          </w:p>
          <w:p>
            <w:pPr>
              <w:pStyle w:val="Normal"/>
              <w:rPr>
                <w:rFonts w:ascii="Times New Roman" w:hAnsi="Times New Roman" w:cs="Times New Roman"/>
                <w:b/>
                <w:sz w:val="23"/>
              </w:rPr>
            </w:pPr>
            <w:r>
              <w:rPr>
                <w:rFonts w:cs="Times New Roman" w:ascii="Times New Roman" w:hAnsi="Times New Roman"/>
                <w:b/>
                <w:sz w:val="23"/>
              </w:rPr>
            </w:r>
          </w:p>
          <w:p>
            <w:pPr>
              <w:pStyle w:val="Normal"/>
              <w:rPr>
                <w:rFonts w:ascii="Times New Roman" w:hAnsi="Times New Roman" w:cs="Times New Roman"/>
                <w:b/>
                <w:sz w:val="23"/>
              </w:rPr>
            </w:pPr>
            <w:r>
              <w:rPr>
                <w:rFonts w:cs="Times New Roman" w:ascii="Times New Roman" w:hAnsi="Times New Roman"/>
                <w:b/>
                <w:sz w:val="23"/>
              </w:rPr>
            </w:r>
          </w:p>
        </w:tc>
      </w:tr>
      <w:tr>
        <w:trPr>
          <w:trHeight w:val="660" w:hRule="atLeast"/>
        </w:trPr>
        <w:tc>
          <w:tcPr>
            <w:tcW w:w="8856"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b/>
                <w:sz w:val="23"/>
              </w:rPr>
            </w:pPr>
            <w:r>
              <w:rPr>
                <w:rFonts w:cs="Times New Roman" w:ascii="Times New Roman" w:hAnsi="Times New Roman"/>
                <w:b/>
                <w:sz w:val="23"/>
              </w:rPr>
              <w:t>Alternate Representative for the Independent Power Producers Industry Sector</w:t>
            </w:r>
          </w:p>
          <w:p>
            <w:pPr>
              <w:pStyle w:val="Normal"/>
              <w:tabs>
                <w:tab w:val="left" w:pos="360" w:leader="none"/>
                <w:tab w:val="left" w:pos="1440" w:leader="none"/>
              </w:tabs>
              <w:ind w:start="720" w:end="0"/>
              <w:rPr>
                <w:rFonts w:ascii="Times New Roman" w:hAnsi="Times New Roman" w:cs="Times New Roman"/>
                <w:b/>
                <w:sz w:val="23"/>
              </w:rPr>
            </w:pPr>
            <w:r>
              <w:rPr>
                <w:rFonts w:cs="Times New Roman" w:ascii="Times New Roman" w:hAnsi="Times New Roman"/>
                <w:b/>
                <w:sz w:val="23"/>
              </w:rPr>
            </w:r>
          </w:p>
        </w:tc>
      </w:tr>
    </w:tbl>
    <w:p>
      <w:pPr>
        <w:pStyle w:val="Normal"/>
        <w:rPr>
          <w:rFonts w:ascii="Times New Roman" w:hAnsi="Times New Roman" w:cs="Times New Roman"/>
          <w:sz w:val="16"/>
        </w:rPr>
      </w:pPr>
      <w:r>
        <w:rPr>
          <w:rFonts w:cs="Times New Roman" w:ascii="Times New Roman" w:hAnsi="Times New Roman"/>
          <w:sz w:val="16"/>
        </w:rPr>
      </w:r>
    </w:p>
    <w:tbl>
      <w:tblPr>
        <w:tblW w:w="8880" w:type="dxa"/>
        <w:jc w:val="start"/>
        <w:tblInd w:w="8" w:type="dxa"/>
        <w:tblLayout w:type="fixed"/>
        <w:tblCellMar>
          <w:top w:w="0" w:type="dxa"/>
          <w:start w:w="108" w:type="dxa"/>
          <w:bottom w:w="0" w:type="dxa"/>
          <w:end w:w="108" w:type="dxa"/>
        </w:tblCellMar>
      </w:tblPr>
      <w:tblGrid>
        <w:gridCol w:w="8880"/>
      </w:tblGrid>
      <w:tr>
        <w:trPr>
          <w:trHeight w:val="2762" w:hRule="atLeast"/>
        </w:trPr>
        <w:tc>
          <w:tcPr>
            <w:tcW w:w="888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Times New Roman" w:hAnsi="Times New Roman" w:cs="Times New Roman"/>
                <w:b/>
              </w:rPr>
            </w:pPr>
            <w:r>
              <w:rPr>
                <w:rFonts w:cs="Times New Roman" w:ascii="Times New Roman" w:hAnsi="Times New Roman"/>
                <w:b/>
              </w:rPr>
              <w:t>Description of Qualifications:</w:t>
            </w:r>
          </w:p>
        </w:tc>
      </w:tr>
    </w:tbl>
    <w:p>
      <w:pPr>
        <w:pStyle w:val="Normal"/>
        <w:rPr>
          <w:rFonts w:ascii="Times New Roman" w:hAnsi="Times New Roman" w:cs="Times New Roman"/>
          <w:sz w:val="16"/>
        </w:rPr>
      </w:pPr>
      <w:r>
        <w:rPr>
          <w:rFonts w:cs="Times New Roman" w:ascii="Times New Roman" w:hAnsi="Times New Roman"/>
          <w:sz w:val="16"/>
        </w:rPr>
      </w:r>
    </w:p>
    <w:tbl>
      <w:tblPr>
        <w:tblW w:w="8900" w:type="dxa"/>
        <w:jc w:val="start"/>
        <w:tblInd w:w="8" w:type="dxa"/>
        <w:tblLayout w:type="fixed"/>
        <w:tblCellMar>
          <w:top w:w="0" w:type="dxa"/>
          <w:start w:w="108" w:type="dxa"/>
          <w:bottom w:w="0" w:type="dxa"/>
          <w:end w:w="108" w:type="dxa"/>
        </w:tblCellMar>
      </w:tblPr>
      <w:tblGrid>
        <w:gridCol w:w="8900"/>
      </w:tblGrid>
      <w:tr>
        <w:trPr>
          <w:trHeight w:val="2501" w:hRule="atLeast"/>
        </w:trPr>
        <w:tc>
          <w:tcPr>
            <w:tcW w:w="890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Times New Roman" w:hAnsi="Times New Roman" w:cs="Times New Roman"/>
                <w:b/>
              </w:rPr>
            </w:pPr>
            <w:r>
              <w:rPr>
                <w:rFonts w:cs="Times New Roman" w:ascii="Times New Roman" w:hAnsi="Times New Roman"/>
                <w:b/>
              </w:rPr>
              <w:t>Nomination Submitted by:</w:t>
            </w:r>
          </w:p>
          <w:p>
            <w:pPr>
              <w:pStyle w:val="Footer"/>
              <w:tabs>
                <w:tab w:val="clear" w:pos="4320"/>
                <w:tab w:val="clear" w:pos="8640"/>
                <w:tab w:val="left" w:pos="352" w:leader="none"/>
                <w:tab w:val="left" w:pos="4492" w:leader="none"/>
              </w:tabs>
              <w:spacing w:before="120" w:after="0"/>
              <w:rPr>
                <w:rFonts w:ascii="Times New Roman" w:hAnsi="Times New Roman" w:cs="Times New Roman"/>
              </w:rPr>
            </w:pPr>
            <w:r>
              <w:rPr>
                <w:rFonts w:cs="Times New Roman" w:ascii="Times New Roman" w:hAnsi="Times New Roman"/>
              </w:rPr>
              <w:tab/>
              <w:t xml:space="preserve">Name of Person Submitting Nomination:  </w:t>
              <w:tab/>
              <w:t>_________________________________</w:t>
            </w:r>
          </w:p>
          <w:p>
            <w:pPr>
              <w:pStyle w:val="Normal"/>
              <w:tabs>
                <w:tab w:val="clear" w:pos="1440"/>
                <w:tab w:val="left" w:pos="352" w:leader="none"/>
                <w:tab w:val="left" w:pos="4492" w:leader="none"/>
              </w:tabs>
              <w:spacing w:before="240" w:after="0"/>
              <w:rPr>
                <w:rFonts w:ascii="Times New Roman" w:hAnsi="Times New Roman" w:cs="Times New Roman"/>
              </w:rPr>
            </w:pPr>
            <w:r>
              <w:rPr>
                <w:rFonts w:cs="Times New Roman" w:ascii="Times New Roman" w:hAnsi="Times New Roman"/>
              </w:rPr>
              <w:tab/>
              <w:t>Name of Organization:</w:t>
              <w:tab/>
              <w:t>_________________________________</w:t>
            </w:r>
          </w:p>
          <w:p>
            <w:pPr>
              <w:pStyle w:val="Normal"/>
              <w:tabs>
                <w:tab w:val="clear" w:pos="1440"/>
                <w:tab w:val="left" w:pos="712" w:leader="none"/>
                <w:tab w:val="left" w:pos="5032" w:leader="none"/>
              </w:tabs>
              <w:spacing w:before="240" w:after="0"/>
              <w:ind w:hanging="720" w:start="706" w:end="0"/>
              <w:rPr>
                <w:rFonts w:ascii="Times New Roman" w:hAnsi="Times New Roman" w:cs="Times New Roman"/>
              </w:rPr>
            </w:pPr>
            <w:r>
              <w:rPr>
                <w:rFonts w:cs="Times New Roman" w:ascii="Times New Roman" w:hAnsi="Times New Roman"/>
              </w:rPr>
              <w:t xml:space="preserve">Note:   Nominations are to be limited to the Nominating Person’s Industry Sector.  </w:t>
            </w:r>
          </w:p>
          <w:p>
            <w:pPr>
              <w:pStyle w:val="Normal"/>
              <w:tabs>
                <w:tab w:val="clear" w:pos="1440"/>
                <w:tab w:val="left" w:pos="712" w:leader="none"/>
                <w:tab w:val="left" w:pos="5032" w:leader="none"/>
              </w:tabs>
              <w:ind w:start="712" w:end="0"/>
              <w:rPr>
                <w:rFonts w:ascii="Times New Roman" w:hAnsi="Times New Roman" w:cs="Times New Roman"/>
              </w:rPr>
            </w:pPr>
            <w:r>
              <w:rPr>
                <w:rFonts w:cs="Times New Roman" w:ascii="Times New Roman" w:hAnsi="Times New Roman"/>
              </w:rPr>
              <w:t>(e.g.  A representative of the Major Transmission Owner’s sector can only submit nominations for that sector.)</w:t>
            </w:r>
          </w:p>
        </w:tc>
      </w:tr>
    </w:tbl>
    <w:p>
      <w:pPr>
        <w:pStyle w:val="BodyText2"/>
        <w:tabs>
          <w:tab w:val="left" w:pos="1440" w:leader="none"/>
          <w:tab w:val="center" w:pos="7470" w:leader="none"/>
        </w:tabs>
        <w:ind w:end="1890"/>
        <w:rPr/>
      </w:pPr>
      <w:r>
        <w:rPr/>
      </w:r>
    </w:p>
    <w:sectPr>
      <w:headerReference w:type="default" r:id="rId7"/>
      <w:headerReference w:type="first" r:id="rId8"/>
      <w:footerReference w:type="default" r:id="rId9"/>
      <w:footerReference w:type="first" r:id="rId10"/>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/mnt/main-storage/datasets/enron-docs/doc/Ippnomlt_01.doc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caps/>
      <w:color w:val="FF0000"/>
    </w:rPr>
  </w:style>
  <w:style w:type="paragraph" w:styleId="Heading2">
    <w:name w:val="heading 2"/>
    <w:basedOn w:val="Normal"/>
    <w:next w:val="Normal"/>
    <w:qFormat/>
    <w:pPr>
      <w:keepNext w:val="true"/>
      <w:numPr>
        <w:ilvl w:val="1"/>
        <w:numId w:val="1"/>
      </w:numPr>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ind w:hanging="0" w:start="2160" w:end="0"/>
      <w:outlineLvl w:val="3"/>
    </w:pPr>
    <w:rPr>
      <w:b/>
      <w:color w:val="008000"/>
    </w:rPr>
  </w:style>
  <w:style w:type="paragraph" w:styleId="Heading5">
    <w:name w:val="heading 5"/>
    <w:basedOn w:val="Normal"/>
    <w:next w:val="Normal"/>
    <w:qFormat/>
    <w:pPr>
      <w:keepNext w:val="true"/>
      <w:numPr>
        <w:ilvl w:val="4"/>
        <w:numId w:val="1"/>
      </w:numPr>
      <w:ind w:hanging="0" w:start="2880" w:end="0"/>
      <w:outlineLvl w:val="4"/>
    </w:pPr>
    <w:rPr>
      <w:b/>
      <w:color w:val="800000"/>
    </w:rPr>
  </w:style>
  <w:style w:type="paragraph" w:styleId="Heading6">
    <w:name w:val="heading 6"/>
    <w:basedOn w:val="Normal"/>
    <w:next w:val="Normal"/>
    <w:qFormat/>
    <w:pPr>
      <w:keepNext w:val="true"/>
      <w:numPr>
        <w:ilvl w:val="5"/>
        <w:numId w:val="1"/>
      </w:numPr>
      <w:ind w:hanging="0" w:start="3600" w:end="0"/>
      <w:outlineLvl w:val="5"/>
    </w:pPr>
    <w:rPr>
      <w:b/>
      <w:color w:val="000080"/>
    </w:rPr>
  </w:style>
  <w:style w:type="paragraph" w:styleId="Heading7">
    <w:name w:val="heading 7"/>
    <w:basedOn w:val="Normal"/>
    <w:next w:val="Normal"/>
    <w:qFormat/>
    <w:pPr>
      <w:keepNext w:val="true"/>
      <w:numPr>
        <w:ilvl w:val="6"/>
        <w:numId w:val="1"/>
      </w:numPr>
      <w:ind w:hanging="0" w:start="4320" w:end="0"/>
      <w:outlineLvl w:val="6"/>
    </w:pPr>
    <w:rPr>
      <w:b/>
      <w:color w:val="808000"/>
    </w:rPr>
  </w:style>
  <w:style w:type="paragraph" w:styleId="Heading8">
    <w:name w:val="heading 8"/>
    <w:basedOn w:val="Normal"/>
    <w:next w:val="Normal"/>
    <w:qFormat/>
    <w:pPr>
      <w:keepNext w:val="true"/>
      <w:numPr>
        <w:ilvl w:val="7"/>
        <w:numId w:val="1"/>
      </w:numPr>
      <w:ind w:hanging="0" w:start="5040" w:end="0"/>
      <w:outlineLvl w:val="7"/>
    </w:pPr>
    <w:rPr>
      <w:b/>
      <w:color w:val="008080"/>
    </w:rPr>
  </w:style>
  <w:style w:type="paragraph" w:styleId="Heading9">
    <w:name w:val="heading 9"/>
    <w:basedOn w:val="Normal"/>
    <w:next w:val="Normal"/>
    <w:qFormat/>
    <w:pPr>
      <w:keepNext w:val="true"/>
      <w:numPr>
        <w:ilvl w:val="8"/>
        <w:numId w:val="1"/>
      </w:numPr>
      <w:outlineLvl w:val="8"/>
    </w:pPr>
    <w:rPr>
      <w:i/>
      <w:sz w:val="3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rFonts w:ascii="Century Schoolbook" w:hAnsi="Century Schoolbook" w:cs="Century Schoolbook"/>
      <w:b/>
      <w:color w:val="FF0000"/>
      <w:position w:val="0"/>
      <w:sz w:val="24"/>
      <w:sz w:val="24"/>
      <w:u w:val="single"/>
      <w:vertAlign w:val="baselin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ind w:hanging="1152" w:start="1152" w:end="0"/>
    </w:pPr>
    <w:rPr>
      <w:i/>
      <w:color w:val="FF0000"/>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2">
    <w:name w:val="toc 2"/>
    <w:basedOn w:val="Normal"/>
    <w:next w:val="Normal"/>
    <w:pPr>
      <w:tabs>
        <w:tab w:val="clear" w:pos="1440"/>
        <w:tab w:val="left" w:pos="8280" w:leader="dot"/>
        <w:tab w:val="right" w:pos="8640" w:leader="none"/>
      </w:tabs>
      <w:ind w:hanging="720" w:start="1152" w:end="1440"/>
    </w:pPr>
    <w:rPr/>
  </w:style>
  <w:style w:type="paragraph" w:styleId="TOC1">
    <w:name w:val="toc 1"/>
    <w:basedOn w:val="Normal"/>
    <w:next w:val="Normal"/>
    <w:pPr>
      <w:tabs>
        <w:tab w:val="clear" w:pos="1440"/>
        <w:tab w:val="left" w:pos="8280" w:leader="dot"/>
        <w:tab w:val="right" w:pos="8640" w:leader="none"/>
      </w:tabs>
      <w:ind w:hanging="432" w:start="432" w:end="1440"/>
    </w:pPr>
    <w:rPr/>
  </w:style>
  <w:style w:type="paragraph" w:styleId="Index2">
    <w:name w:val="index 2"/>
    <w:basedOn w:val="Normal"/>
    <w:next w:val="Normal"/>
    <w:pPr>
      <w:tabs>
        <w:tab w:val="clear" w:pos="1440"/>
        <w:tab w:val="right" w:pos="7200" w:leader="dot"/>
      </w:tabs>
      <w:spacing w:before="240" w:after="0"/>
      <w:ind w:hanging="0" w:start="360" w:end="0"/>
    </w:pPr>
    <w:rPr/>
  </w:style>
  <w:style w:type="paragraph" w:styleId="Index1">
    <w:name w:val="index 1"/>
    <w:basedOn w:val="Normal"/>
    <w:next w:val="Normal"/>
    <w:pPr>
      <w:tabs>
        <w:tab w:val="clear" w:pos="1440"/>
      </w:tabs>
      <w:spacing w:before="240" w:after="0"/>
      <w:jc w:val="center"/>
    </w:pPr>
    <w:rPr>
      <w:caps/>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clear" w:pos="1440"/>
        <w:tab w:val="center" w:pos="4320" w:leader="none"/>
        <w:tab w:val="right" w:pos="8640" w:leader="none"/>
      </w:tabs>
    </w:pPr>
    <w:rPr/>
  </w:style>
  <w:style w:type="paragraph" w:styleId="Header">
    <w:name w:val="header"/>
    <w:basedOn w:val="Normal"/>
    <w:pPr>
      <w:tabs>
        <w:tab w:val="clear" w:pos="1440"/>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NormalIndent">
    <w:name w:val="Normal Indent"/>
    <w:basedOn w:val="Normal"/>
    <w:qFormat/>
    <w:pPr>
      <w:ind w:hanging="0" w:start="720" w:end="0"/>
    </w:pPr>
    <w:rPr/>
  </w:style>
  <w:style w:type="paragraph" w:styleId="BlockIndent">
    <w:name w:val="Block Indent"/>
    <w:basedOn w:val="Normal"/>
    <w:qFormat/>
    <w:pPr>
      <w:spacing w:lineRule="atLeast" w:line="240"/>
      <w:ind w:hanging="0" w:start="2160" w:end="1440"/>
    </w:pPr>
    <w:rPr/>
  </w:style>
  <w:style w:type="paragraph" w:styleId="Orator">
    <w:name w:val="Orator"/>
    <w:basedOn w:val="Normal"/>
    <w:qFormat/>
    <w:pPr>
      <w:spacing w:lineRule="atLeast" w:line="480"/>
    </w:pPr>
    <w:rPr>
      <w:rFonts w:ascii="Arial" w:hAnsi="Arial" w:cs="Arial"/>
      <w:sz w:val="32"/>
    </w:rPr>
  </w:style>
  <w:style w:type="paragraph" w:styleId="To">
    <w:name w:val="To"/>
    <w:basedOn w:val="Normal"/>
    <w:qFormat/>
    <w:pPr>
      <w:spacing w:before="0" w:after="240"/>
      <w:ind w:hanging="1440" w:start="1440" w:end="0"/>
    </w:pPr>
    <w:rPr/>
  </w:style>
  <w:style w:type="paragraph" w:styleId="From">
    <w:name w:val="From"/>
    <w:basedOn w:val="Normal"/>
    <w:qFormat/>
    <w:pPr>
      <w:spacing w:before="0" w:after="240"/>
      <w:ind w:hanging="1440" w:start="1440" w:end="0"/>
    </w:pPr>
    <w:rPr/>
  </w:style>
  <w:style w:type="paragraph" w:styleId="Re">
    <w:name w:val="Re"/>
    <w:basedOn w:val="Normal"/>
    <w:next w:val="Normal"/>
    <w:qFormat/>
    <w:pPr>
      <w:spacing w:before="0" w:after="360"/>
      <w:ind w:hanging="1440" w:start="1440" w:end="0"/>
    </w:pPr>
    <w:rPr>
      <w:b/>
    </w:rPr>
  </w:style>
  <w:style w:type="paragraph" w:styleId="DelType">
    <w:name w:val="DelType"/>
    <w:basedOn w:val="Normal"/>
    <w:qFormat/>
    <w:pPr/>
    <w:rPr>
      <w:i/>
      <w:caps/>
    </w:rPr>
  </w:style>
  <w:style w:type="paragraph" w:styleId="CC">
    <w:name w:val="CC"/>
    <w:basedOn w:val="Normal"/>
    <w:qFormat/>
    <w:pPr>
      <w:ind w:hanging="1440" w:start="1440" w:end="0"/>
    </w:pPr>
    <w:rPr/>
  </w:style>
  <w:style w:type="paragraph" w:styleId="BCC">
    <w:name w:val="BCC"/>
    <w:basedOn w:val="CC"/>
    <w:next w:val="Normal"/>
    <w:qFormat/>
    <w:pPr/>
    <w:rPr>
      <w:vanish/>
    </w:rPr>
  </w:style>
  <w:style w:type="paragraph" w:styleId="BodyText2">
    <w:name w:val="Body Text 2"/>
    <w:basedOn w:val="Normal"/>
    <w:qFormat/>
    <w:pPr>
      <w:ind w:hanging="0" w:start="0" w:end="2160"/>
    </w:pPr>
    <w:rPr>
      <w:rFonts w:ascii="Times New Roman" w:hAnsi="Times New Roman" w:cs="Times New Roman"/>
      <w:sz w:val="14"/>
    </w:rPr>
  </w:style>
  <w:style w:type="paragraph" w:styleId="BodyTextIndent">
    <w:name w:val="Body Text Indent"/>
    <w:basedOn w:val="Normal"/>
    <w:pPr>
      <w:ind w:hanging="900" w:start="5220" w:end="0"/>
    </w:pPr>
    <w:rPr>
      <w:rFonts w:ascii="Times New Roman" w:hAnsi="Times New Roman" w:cs="Times New Roma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yperlink" Target="mailto:kewh@dynegy.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2001-02-20T14:22:00Z</dcterms:created>
  <dc:creator>JL4</dc:creator>
  <dc:description/>
  <dc:language>en-CA</dc:language>
  <cp:lastModifiedBy>laurie</cp:lastModifiedBy>
  <cp:lastPrinted>2001-02-20T10:54:00Z</cp:lastPrinted>
  <dcterms:modified xsi:type="dcterms:W3CDTF">2001-02-21T20:12:00Z</dcterms:modified>
  <cp:revision>24</cp:revision>
  <dc:subject/>
  <dc:title>RMS Agreement cover</dc:title>
</cp:coreProperties>
</file>