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8450" w:type="dxa"/>
        <w:jc w:val="start"/>
        <w:tblInd w:w="-432" w:type="dxa"/>
        <w:tblLayout w:type="fixed"/>
        <w:tblCellMar>
          <w:top w:w="0" w:type="dxa"/>
          <w:start w:w="108" w:type="dxa"/>
          <w:bottom w:w="0" w:type="dxa"/>
          <w:end w:w="108" w:type="dxa"/>
        </w:tblCellMar>
      </w:tblPr>
      <w:tblGrid>
        <w:gridCol w:w="18450"/>
      </w:tblGrid>
      <w:tr>
        <w:trPr/>
        <w:tc>
          <w:tcPr>
            <w:tcW w:w="18450" w:type="dxa"/>
            <w:tcBorders>
              <w:top w:val="single" w:sz="4" w:space="0" w:color="000000"/>
              <w:start w:val="single" w:sz="4" w:space="0" w:color="000000"/>
              <w:bottom w:val="single" w:sz="4" w:space="0" w:color="000000"/>
              <w:end w:val="single" w:sz="4" w:space="0" w:color="000000"/>
            </w:tcBorders>
            <w:shd w:fill="FFFF00" w:val="clear"/>
          </w:tcPr>
          <w:p>
            <w:pPr>
              <w:pStyle w:val="Normal"/>
              <w:rPr>
                <w:b/>
              </w:rPr>
            </w:pPr>
            <w:r>
              <w:rPr>
                <w:b/>
                <w:sz w:val="24"/>
              </w:rPr>
              <w:t>Project Objective</w:t>
            </w:r>
          </w:p>
        </w:tc>
      </w:tr>
      <w:tr>
        <w:trPr/>
        <w:tc>
          <w:tcPr>
            <w:tcW w:w="18450" w:type="dxa"/>
            <w:tcBorders>
              <w:top w:val="single" w:sz="4" w:space="0" w:color="000000"/>
              <w:start w:val="single" w:sz="4" w:space="0" w:color="000000"/>
              <w:bottom w:val="single" w:sz="4" w:space="0" w:color="000000"/>
              <w:end w:val="single" w:sz="4" w:space="0" w:color="000000"/>
            </w:tcBorders>
          </w:tcPr>
          <w:p>
            <w:pPr>
              <w:pStyle w:val="Heading5"/>
              <w:ind w:hanging="0" w:start="0"/>
              <w:rPr>
                <w:b w:val="false"/>
                <w:i w:val="false"/>
                <w:i w:val="false"/>
                <w:sz w:val="24"/>
              </w:rPr>
            </w:pPr>
            <w:r>
              <w:rPr>
                <w:b w:val="false"/>
                <w:i w:val="false"/>
                <w:sz w:val="24"/>
              </w:rPr>
              <w:t>The purpose of our review was to understand the process by which the Investment Portfolio is updated and reported during daily and quarterly revaluation.  Our review was designed to identify and test significant policies, procedures and controls to ensure the information reported properly reflects investment values and is updated and distributed to the appropriate parties timely and accurately.</w:t>
            </w:r>
          </w:p>
        </w:tc>
      </w:tr>
    </w:tbl>
    <w:p>
      <w:pPr>
        <w:pStyle w:val="Normal"/>
        <w:rPr/>
      </w:pPr>
      <w:r>
        <w:rPr/>
      </w:r>
    </w:p>
    <w:tbl>
      <w:tblPr>
        <w:tblW w:w="18450" w:type="dxa"/>
        <w:jc w:val="start"/>
        <w:tblInd w:w="-432" w:type="dxa"/>
        <w:tblLayout w:type="fixed"/>
        <w:tblCellMar>
          <w:top w:w="0" w:type="dxa"/>
          <w:start w:w="108" w:type="dxa"/>
          <w:bottom w:w="0" w:type="dxa"/>
          <w:end w:w="108" w:type="dxa"/>
        </w:tblCellMar>
      </w:tblPr>
      <w:tblGrid>
        <w:gridCol w:w="1800"/>
        <w:gridCol w:w="1350"/>
        <w:gridCol w:w="1800"/>
        <w:gridCol w:w="2700"/>
        <w:gridCol w:w="1350"/>
        <w:gridCol w:w="2610"/>
        <w:gridCol w:w="180"/>
        <w:gridCol w:w="3690"/>
        <w:gridCol w:w="2970"/>
      </w:tblGrid>
      <w:tr>
        <w:trPr>
          <w:tblHeader w:val="true"/>
        </w:trPr>
        <w:tc>
          <w:tcPr>
            <w:tcW w:w="1800" w:type="dxa"/>
            <w:tcBorders>
              <w:top w:val="single" w:sz="6" w:space="0" w:color="000000"/>
              <w:start w:val="single" w:sz="6" w:space="0" w:color="000000"/>
              <w:bottom w:val="single" w:sz="6" w:space="0" w:color="000000"/>
              <w:end w:val="single" w:sz="6" w:space="0" w:color="000000"/>
            </w:tcBorders>
            <w:shd w:fill="FFFF00" w:val="clear"/>
          </w:tcPr>
          <w:p>
            <w:pPr>
              <w:pStyle w:val="Normal"/>
              <w:rPr>
                <w:b/>
                <w:sz w:val="24"/>
              </w:rPr>
            </w:pPr>
            <w:r>
              <w:rPr>
                <w:b/>
                <w:sz w:val="24"/>
              </w:rPr>
              <w:t>Project Name</w:t>
            </w:r>
          </w:p>
        </w:tc>
        <w:tc>
          <w:tcPr>
            <w:tcW w:w="135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80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70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shd w:fill="FF0000" w:val="clear"/>
              </w:rPr>
              <w:t>Objective Met?</w:t>
            </w:r>
          </w:p>
        </w:tc>
        <w:tc>
          <w:tcPr>
            <w:tcW w:w="2610"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3870" w:type="dxa"/>
            <w:gridSpan w:val="2"/>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297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jc w:val="center"/>
              <w:rPr>
                <w:b/>
                <w:sz w:val="24"/>
              </w:rPr>
            </w:pPr>
            <w:r>
              <w:rPr>
                <w:b/>
                <w:sz w:val="24"/>
              </w:rPr>
              <w:t>Person &amp; Target Date</w:t>
            </w:r>
          </w:p>
        </w:tc>
      </w:tr>
      <w:tr>
        <w:trPr>
          <w:trHeight w:val="2226"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rPr>
                <w:sz w:val="18"/>
                <w:u w:val="single"/>
              </w:rPr>
            </w:pPr>
            <w:r>
              <w:rPr>
                <w:i/>
                <w:sz w:val="18"/>
                <w:u w:val="single"/>
              </w:rPr>
              <w:t>Investment Portfolio Activity Reporting and Analysis</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&amp; Operational Completeness &amp; Accuracy</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Revenue Recording Activities</w:t>
            </w:r>
          </w:p>
        </w:tc>
        <w:tc>
          <w:tcPr>
            <w:tcW w:w="27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42" w:leader="none"/>
              </w:tabs>
              <w:ind w:start="72" w:end="0"/>
              <w:rPr>
                <w:sz w:val="18"/>
              </w:rPr>
            </w:pPr>
            <w:r>
              <w:rPr>
                <w:sz w:val="18"/>
              </w:rPr>
              <w:t>Information relating to Enron’s Merchant Portfolio is properly captured and reported on the Merchant Portfolio Report (MPR).</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16"/>
              </w:numPr>
              <w:tabs>
                <w:tab w:val="clear" w:pos="720"/>
                <w:tab w:val="left" w:pos="2160" w:leader="none"/>
              </w:tabs>
              <w:rPr>
                <w:sz w:val="18"/>
              </w:rPr>
            </w:pPr>
            <w:r>
              <w:rPr>
                <w:sz w:val="18"/>
              </w:rPr>
              <w:t xml:space="preserve">Financial Reporting reconciles the MPR and Midas on a weekly basis.  </w:t>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numPr>
                <w:ilvl w:val="0"/>
                <w:numId w:val="17"/>
              </w:numPr>
              <w:tabs>
                <w:tab w:val="clear" w:pos="720"/>
                <w:tab w:val="left" w:pos="2160" w:leader="none"/>
              </w:tabs>
              <w:rPr>
                <w:sz w:val="18"/>
              </w:rPr>
            </w:pPr>
            <w:r>
              <w:rPr>
                <w:sz w:val="18"/>
              </w:rPr>
              <w:t>Information is received timely from the different business units and the MPR is updated accordingly.</w:t>
            </w:r>
          </w:p>
          <w:p>
            <w:pPr>
              <w:pStyle w:val="Normal"/>
              <w:tabs>
                <w:tab w:val="clear" w:pos="720"/>
                <w:tab w:val="left" w:pos="2160" w:leader="none"/>
              </w:tabs>
              <w:rPr>
                <w:sz w:val="18"/>
              </w:rPr>
            </w:pPr>
            <w:r>
              <w:rPr>
                <w:sz w:val="18"/>
              </w:rPr>
            </w:r>
          </w:p>
          <w:p>
            <w:pPr>
              <w:pStyle w:val="Normal"/>
              <w:numPr>
                <w:ilvl w:val="0"/>
                <w:numId w:val="17"/>
              </w:numPr>
              <w:tabs>
                <w:tab w:val="clear" w:pos="720"/>
                <w:tab w:val="left" w:pos="2160" w:leader="none"/>
              </w:tabs>
              <w:rPr>
                <w:sz w:val="18"/>
              </w:rPr>
            </w:pPr>
            <w:r>
              <w:rPr>
                <w:sz w:val="18"/>
              </w:rPr>
              <w:t>Any changes to the MPR are recorded in a log for future reference.</w:t>
            </w:r>
          </w:p>
          <w:p>
            <w:pPr>
              <w:pStyle w:val="Normal"/>
              <w:tabs>
                <w:tab w:val="clear" w:pos="720"/>
                <w:tab w:val="left" w:pos="2160" w:leader="none"/>
              </w:tabs>
              <w:rPr>
                <w:sz w:val="18"/>
              </w:rPr>
            </w:pPr>
            <w:r>
              <w:rPr>
                <w:sz w:val="18"/>
              </w:rPr>
            </w:r>
          </w:p>
          <w:p>
            <w:pPr>
              <w:pStyle w:val="Normal"/>
              <w:numPr>
                <w:ilvl w:val="0"/>
                <w:numId w:val="17"/>
              </w:numPr>
              <w:tabs>
                <w:tab w:val="clear" w:pos="720"/>
                <w:tab w:val="left" w:pos="2160" w:leader="none"/>
              </w:tabs>
              <w:rPr>
                <w:sz w:val="18"/>
              </w:rPr>
            </w:pPr>
            <w:r>
              <w:rPr>
                <w:sz w:val="18"/>
              </w:rPr>
              <w:t>Daily price, US and Canadian yields, and Canada exchange rate information from Bloomberg is compared to Yahoo!</w:t>
            </w:r>
          </w:p>
          <w:p>
            <w:pPr>
              <w:pStyle w:val="Normal"/>
              <w:tabs>
                <w:tab w:val="clear" w:pos="720"/>
                <w:tab w:val="left" w:pos="2160" w:leader="none"/>
              </w:tabs>
              <w:rPr>
                <w:sz w:val="18"/>
              </w:rPr>
            </w:pPr>
            <w:r>
              <w:rPr>
                <w:sz w:val="18"/>
              </w:rPr>
            </w:r>
          </w:p>
        </w:tc>
        <w:tc>
          <w:tcPr>
            <w:tcW w:w="387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18"/>
              </w:numPr>
              <w:tabs>
                <w:tab w:val="clear" w:pos="720"/>
                <w:tab w:val="left" w:pos="1062" w:leader="none"/>
                <w:tab w:val="left" w:pos="2160" w:leader="none"/>
              </w:tabs>
              <w:rPr>
                <w:sz w:val="18"/>
              </w:rPr>
            </w:pPr>
            <w:r>
              <w:rPr>
                <w:sz w:val="18"/>
              </w:rPr>
              <w:t>The MPR currently reports 96.12% of the JEDI market value that is based on economic ownership percentages (which comprises 60% of ECT and 36.12% of ECM).</w:t>
            </w:r>
          </w:p>
          <w:p>
            <w:pPr>
              <w:pStyle w:val="Normal"/>
              <w:tabs>
                <w:tab w:val="clear" w:pos="720"/>
                <w:tab w:val="left" w:pos="1062" w:leader="none"/>
                <w:tab w:val="left" w:pos="2160" w:leader="none"/>
              </w:tabs>
              <w:rPr>
                <w:sz w:val="18"/>
              </w:rPr>
            </w:pPr>
            <w:r>
              <w:rPr>
                <w:sz w:val="18"/>
              </w:rPr>
            </w:r>
          </w:p>
          <w:p>
            <w:pPr>
              <w:pStyle w:val="Normal"/>
              <w:tabs>
                <w:tab w:val="clear" w:pos="720"/>
                <w:tab w:val="left" w:pos="1062" w:leader="none"/>
                <w:tab w:val="left" w:pos="2160" w:leader="none"/>
              </w:tabs>
              <w:ind w:start="72" w:end="0"/>
              <w:rPr>
                <w:sz w:val="18"/>
              </w:rPr>
            </w:pPr>
            <w:r>
              <w:rPr>
                <w:sz w:val="18"/>
              </w:rPr>
            </w:r>
          </w:p>
          <w:p>
            <w:pPr>
              <w:pStyle w:val="Normal"/>
              <w:tabs>
                <w:tab w:val="clear" w:pos="720"/>
                <w:tab w:val="left" w:pos="1062" w:leader="none"/>
                <w:tab w:val="left" w:pos="2160" w:leader="none"/>
              </w:tabs>
              <w:rPr>
                <w:sz w:val="18"/>
              </w:rPr>
            </w:pPr>
            <w:r>
              <w:rPr>
                <w:sz w:val="18"/>
              </w:rPr>
            </w:r>
          </w:p>
          <w:p>
            <w:pPr>
              <w:pStyle w:val="Normal"/>
              <w:tabs>
                <w:tab w:val="clear" w:pos="720"/>
                <w:tab w:val="left" w:pos="1062" w:leader="none"/>
                <w:tab w:val="left" w:pos="2160" w:leader="none"/>
              </w:tabs>
              <w:rPr>
                <w:sz w:val="18"/>
              </w:rPr>
            </w:pPr>
            <w:r>
              <w:rPr>
                <w:sz w:val="18"/>
              </w:rPr>
            </w:r>
          </w:p>
          <w:p>
            <w:pPr>
              <w:pStyle w:val="Normal"/>
              <w:tabs>
                <w:tab w:val="clear" w:pos="720"/>
                <w:tab w:val="left" w:pos="1062" w:leader="none"/>
                <w:tab w:val="left" w:pos="2160" w:leader="none"/>
              </w:tabs>
              <w:ind w:start="72" w:end="0"/>
              <w:rPr>
                <w:sz w:val="18"/>
              </w:rPr>
            </w:pPr>
            <w:r>
              <w:rPr>
                <w:sz w:val="18"/>
              </w:rPr>
            </w:r>
          </w:p>
          <w:p>
            <w:pPr>
              <w:pStyle w:val="Normal"/>
              <w:numPr>
                <w:ilvl w:val="0"/>
                <w:numId w:val="18"/>
              </w:numPr>
              <w:tabs>
                <w:tab w:val="clear" w:pos="720"/>
                <w:tab w:val="left" w:pos="1062" w:leader="none"/>
                <w:tab w:val="left" w:pos="2160" w:leader="none"/>
              </w:tabs>
              <w:rPr>
                <w:sz w:val="18"/>
              </w:rPr>
            </w:pPr>
            <w:r>
              <w:rPr>
                <w:sz w:val="18"/>
              </w:rPr>
              <w:t>Information provided by Enron International is typically sent monthly and in many cases, information is received on a one-month lag.</w:t>
            </w:r>
          </w:p>
          <w:p>
            <w:pPr>
              <w:pStyle w:val="Normal"/>
              <w:tabs>
                <w:tab w:val="clear" w:pos="720"/>
                <w:tab w:val="left" w:pos="342" w:leader="none"/>
                <w:tab w:val="left" w:pos="2160" w:leader="none"/>
              </w:tabs>
              <w:ind w:start="72" w:end="0"/>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15"/>
              </w:numPr>
              <w:rPr>
                <w:sz w:val="18"/>
              </w:rPr>
            </w:pPr>
            <w:r>
              <w:rPr>
                <w:sz w:val="18"/>
              </w:rPr>
              <w:t>Due to disproportionate sharing within the JEDI structure, information should be reported based on current beneficial ownership percentages based on hypothetical liquidation.  At June 30, 2000, this percentage was 93.12%.</w:t>
            </w:r>
          </w:p>
          <w:p>
            <w:pPr>
              <w:pStyle w:val="Normal"/>
              <w:rPr>
                <w:sz w:val="18"/>
              </w:rPr>
            </w:pPr>
            <w:r>
              <w:rPr>
                <w:sz w:val="18"/>
              </w:rPr>
            </w:r>
          </w:p>
          <w:p>
            <w:pPr>
              <w:pStyle w:val="Normal"/>
              <w:numPr>
                <w:ilvl w:val="0"/>
                <w:numId w:val="15"/>
              </w:numPr>
              <w:rPr>
                <w:sz w:val="18"/>
              </w:rPr>
            </w:pPr>
            <w:r>
              <w:rPr>
                <w:sz w:val="18"/>
              </w:rPr>
              <w:t>To ensure that the Merchant Portfolio Report is updated as timely as possible, a formal process should be implemented that designates an individual or group of individuals within Enron International to send an e-mail (at a minimum weekly) including the following information:</w:t>
            </w:r>
          </w:p>
          <w:p>
            <w:pPr>
              <w:pStyle w:val="Normal"/>
              <w:rPr>
                <w:sz w:val="18"/>
              </w:rPr>
            </w:pPr>
            <w:r>
              <w:rPr>
                <w:sz w:val="18"/>
              </w:rPr>
            </w:r>
          </w:p>
          <w:p>
            <w:pPr>
              <w:pStyle w:val="Normal"/>
              <w:numPr>
                <w:ilvl w:val="0"/>
                <w:numId w:val="8"/>
              </w:numPr>
              <w:tabs>
                <w:tab w:val="clear" w:pos="720"/>
                <w:tab w:val="left" w:pos="523" w:leader="none"/>
                <w:tab w:val="left" w:pos="600" w:leader="none"/>
              </w:tabs>
              <w:ind w:hanging="360" w:start="600" w:end="0"/>
              <w:rPr>
                <w:sz w:val="18"/>
              </w:rPr>
            </w:pPr>
            <w:r>
              <w:rPr>
                <w:sz w:val="18"/>
              </w:rPr>
              <w:t>New investments</w:t>
            </w:r>
          </w:p>
          <w:p>
            <w:pPr>
              <w:pStyle w:val="Normal"/>
              <w:numPr>
                <w:ilvl w:val="0"/>
                <w:numId w:val="8"/>
              </w:numPr>
              <w:tabs>
                <w:tab w:val="clear" w:pos="720"/>
                <w:tab w:val="left" w:pos="523" w:leader="none"/>
                <w:tab w:val="left" w:pos="600" w:leader="none"/>
              </w:tabs>
              <w:ind w:hanging="360" w:start="600" w:end="0"/>
              <w:rPr>
                <w:sz w:val="18"/>
              </w:rPr>
            </w:pPr>
            <w:r>
              <w:rPr>
                <w:sz w:val="18"/>
              </w:rPr>
              <w:t xml:space="preserve">Additional fundings/distributions </w:t>
            </w:r>
          </w:p>
          <w:p>
            <w:pPr>
              <w:pStyle w:val="Normal"/>
              <w:numPr>
                <w:ilvl w:val="0"/>
                <w:numId w:val="8"/>
              </w:numPr>
              <w:tabs>
                <w:tab w:val="clear" w:pos="720"/>
                <w:tab w:val="left" w:pos="523" w:leader="none"/>
                <w:tab w:val="left" w:pos="600" w:leader="none"/>
              </w:tabs>
              <w:ind w:hanging="360" w:start="600" w:end="0"/>
              <w:rPr>
                <w:sz w:val="18"/>
              </w:rPr>
            </w:pPr>
            <w:r>
              <w:rPr>
                <w:sz w:val="18"/>
              </w:rPr>
              <w:t>Any shares received as a payment-in-kind</w:t>
            </w:r>
          </w:p>
          <w:p>
            <w:pPr>
              <w:pStyle w:val="Normal"/>
              <w:numPr>
                <w:ilvl w:val="0"/>
                <w:numId w:val="8"/>
              </w:numPr>
              <w:tabs>
                <w:tab w:val="clear" w:pos="720"/>
                <w:tab w:val="left" w:pos="523" w:leader="none"/>
                <w:tab w:val="left" w:pos="600" w:leader="none"/>
              </w:tabs>
              <w:ind w:hanging="360" w:start="600" w:end="0"/>
              <w:rPr>
                <w:sz w:val="18"/>
              </w:rPr>
            </w:pPr>
            <w:r>
              <w:rPr>
                <w:sz w:val="18"/>
              </w:rPr>
              <w:t>An e-mail stating that no new activity occurred during the past week</w:t>
            </w:r>
          </w:p>
        </w:tc>
      </w:tr>
      <w:tr>
        <w:trPr>
          <w:trHeight w:val="1542"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sz w:val="18"/>
                <w:u w:val="single"/>
              </w:rPr>
            </w:pPr>
            <w:r>
              <w:rPr>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&amp; Operational Completeness &amp; Accuracy</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Revenue Recording Activities</w:t>
            </w:r>
          </w:p>
        </w:tc>
        <w:tc>
          <w:tcPr>
            <w:tcW w:w="2700" w:type="dxa"/>
            <w:tcBorders>
              <w:top w:val="single" w:sz="6" w:space="0" w:color="000000"/>
              <w:start w:val="single" w:sz="6" w:space="0" w:color="000000"/>
              <w:bottom w:val="single" w:sz="6" w:space="0" w:color="000000"/>
              <w:end w:val="single" w:sz="6" w:space="0" w:color="000000"/>
            </w:tcBorders>
          </w:tcPr>
          <w:p>
            <w:pPr>
              <w:pStyle w:val="Header"/>
              <w:rPr>
                <w:sz w:val="18"/>
              </w:rPr>
            </w:pPr>
            <w:r>
              <w:rPr>
                <w:sz w:val="18"/>
              </w:rPr>
              <w:t>Information reported on the MPR relating to finance investments, is accurately reported on the Enron Corp. Daily Position Report (DPR).</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79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7"/>
              </w:numPr>
              <w:tabs>
                <w:tab w:val="clear" w:pos="720"/>
                <w:tab w:val="left" w:pos="252" w:leader="none"/>
                <w:tab w:val="left" w:pos="2160" w:leader="none"/>
              </w:tabs>
              <w:ind w:hanging="252" w:start="252" w:end="0"/>
              <w:rPr>
                <w:sz w:val="18"/>
              </w:rPr>
            </w:pPr>
            <w:r>
              <w:rPr>
                <w:sz w:val="18"/>
              </w:rPr>
              <w:t>Daily procedures for developing the MPR are documented.</w:t>
            </w:r>
          </w:p>
          <w:p>
            <w:pPr>
              <w:pStyle w:val="Normal"/>
              <w:tabs>
                <w:tab w:val="clear" w:pos="720"/>
                <w:tab w:val="left" w:pos="2160" w:leader="none"/>
              </w:tabs>
              <w:rPr>
                <w:sz w:val="18"/>
              </w:rPr>
            </w:pPr>
            <w:r>
              <w:rPr>
                <w:sz w:val="18"/>
              </w:rPr>
            </w:r>
          </w:p>
          <w:p>
            <w:pPr>
              <w:pStyle w:val="Normal"/>
              <w:numPr>
                <w:ilvl w:val="0"/>
                <w:numId w:val="7"/>
              </w:numPr>
              <w:tabs>
                <w:tab w:val="clear" w:pos="720"/>
                <w:tab w:val="left" w:pos="252" w:leader="none"/>
                <w:tab w:val="left" w:pos="2160" w:leader="none"/>
              </w:tabs>
              <w:ind w:hanging="252" w:start="252" w:end="0"/>
              <w:rPr>
                <w:sz w:val="18"/>
              </w:rPr>
            </w:pPr>
            <w:r>
              <w:rPr>
                <w:sz w:val="18"/>
              </w:rPr>
              <w:t>Once the DPR is complete, the Merchant Assets group receives a copy of the Merchant Portfolio page and the DPR Summary page.  A manager in the Merchant Assets group reviews these documents and subsequently signs before filing.</w:t>
            </w:r>
          </w:p>
        </w:tc>
        <w:tc>
          <w:tcPr>
            <w:tcW w:w="3690" w:type="dxa"/>
            <w:tcBorders>
              <w:top w:val="single" w:sz="6" w:space="0" w:color="000000"/>
              <w:start w:val="single" w:sz="6" w:space="0" w:color="000000"/>
              <w:bottom w:val="single" w:sz="6" w:space="0" w:color="000000"/>
              <w:end w:val="single" w:sz="6" w:space="0" w:color="000000"/>
            </w:tcBorders>
          </w:tcPr>
          <w:p>
            <w:pPr>
              <w:pStyle w:val="BodyText3"/>
              <w:numPr>
                <w:ilvl w:val="0"/>
                <w:numId w:val="6"/>
              </w:numPr>
              <w:rPr>
                <w:i w:val="false"/>
                <w:i w:val="false"/>
              </w:rPr>
            </w:pPr>
            <w:r>
              <w:rPr>
                <w:i w:val="false"/>
              </w:rPr>
              <w:t xml:space="preserve">None </w:t>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10"/>
              </w:numPr>
              <w:tabs>
                <w:tab w:val="clear" w:pos="720"/>
                <w:tab w:val="left" w:pos="2160" w:leader="none"/>
              </w:tabs>
              <w:rPr>
                <w:sz w:val="18"/>
              </w:rPr>
            </w:pPr>
            <w:r>
              <w:rPr>
                <w:sz w:val="18"/>
              </w:rPr>
              <w:t>None</w:t>
            </w:r>
          </w:p>
        </w:tc>
      </w:tr>
      <w:tr>
        <w:trPr>
          <w:trHeight w:val="1542"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sz w:val="18"/>
                <w:u w:val="single"/>
              </w:rPr>
            </w:pPr>
            <w:r>
              <w:rPr>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Markets</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Portfolio Monitoring, Analysis, &amp; Management</w:t>
            </w:r>
          </w:p>
        </w:tc>
        <w:tc>
          <w:tcPr>
            <w:tcW w:w="2700" w:type="dxa"/>
            <w:tcBorders>
              <w:top w:val="single" w:sz="6" w:space="0" w:color="000000"/>
              <w:start w:val="single" w:sz="6" w:space="0" w:color="000000"/>
              <w:bottom w:val="single" w:sz="6" w:space="0" w:color="000000"/>
              <w:end w:val="single" w:sz="6" w:space="0" w:color="000000"/>
            </w:tcBorders>
          </w:tcPr>
          <w:p>
            <w:pPr>
              <w:pStyle w:val="Header"/>
              <w:rPr>
                <w:sz w:val="18"/>
              </w:rPr>
            </w:pPr>
            <w:r>
              <w:rPr>
                <w:sz w:val="18"/>
              </w:rPr>
              <w:t>The policies and procedures regarding the hedge strategy of the Merchant Portfolio Report are formally documented and approved.</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No</w:t>
            </w:r>
          </w:p>
        </w:tc>
        <w:tc>
          <w:tcPr>
            <w:tcW w:w="279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clear" w:pos="720"/>
                <w:tab w:val="left" w:pos="2160" w:leader="none"/>
              </w:tabs>
              <w:rPr>
                <w:sz w:val="18"/>
              </w:rPr>
            </w:pPr>
            <w:r>
              <w:rPr>
                <w:sz w:val="18"/>
              </w:rPr>
              <w:t>None</w:t>
            </w:r>
          </w:p>
        </w:tc>
        <w:tc>
          <w:tcPr>
            <w:tcW w:w="3690" w:type="dxa"/>
            <w:tcBorders>
              <w:top w:val="single" w:sz="6" w:space="0" w:color="000000"/>
              <w:start w:val="single" w:sz="6" w:space="0" w:color="000000"/>
              <w:bottom w:val="single" w:sz="6" w:space="0" w:color="000000"/>
              <w:end w:val="single" w:sz="6" w:space="0" w:color="000000"/>
            </w:tcBorders>
          </w:tcPr>
          <w:p>
            <w:pPr>
              <w:pStyle w:val="BodyText3"/>
              <w:numPr>
                <w:ilvl w:val="0"/>
                <w:numId w:val="11"/>
              </w:numPr>
              <w:rPr/>
            </w:pPr>
            <w:r>
              <w:rPr>
                <w:i w:val="false"/>
              </w:rPr>
              <w:t>There are no documented policies and procedures regarding the hedge strategy of the Merchant Portfolio.  Currently, the Merchant Portfolio is not hedged and there is no documented approval of this strategy.</w:t>
            </w:r>
          </w:p>
        </w:tc>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160" w:leader="none"/>
              </w:tabs>
              <w:rPr>
                <w:sz w:val="18"/>
              </w:rPr>
            </w:pPr>
            <w:r>
              <w:rPr>
                <w:sz w:val="18"/>
              </w:rPr>
              <w:t>The policies and procedures regarding the hedge strategy of the Merchant Portfolio should be formally documented and at a minimum include the following:</w:t>
            </w:r>
          </w:p>
          <w:p>
            <w:pPr>
              <w:pStyle w:val="Normal"/>
              <w:numPr>
                <w:ilvl w:val="0"/>
                <w:numId w:val="5"/>
              </w:numPr>
              <w:tabs>
                <w:tab w:val="clear" w:pos="720"/>
                <w:tab w:val="left" w:pos="2160" w:leader="none"/>
              </w:tabs>
              <w:rPr>
                <w:sz w:val="18"/>
              </w:rPr>
            </w:pPr>
            <w:r>
              <w:rPr>
                <w:sz w:val="18"/>
              </w:rPr>
              <w:t>Who is responsible for developing the strategy</w:t>
            </w:r>
          </w:p>
          <w:p>
            <w:pPr>
              <w:pStyle w:val="Normal"/>
              <w:numPr>
                <w:ilvl w:val="0"/>
                <w:numId w:val="5"/>
              </w:numPr>
              <w:tabs>
                <w:tab w:val="clear" w:pos="720"/>
                <w:tab w:val="left" w:pos="2160" w:leader="none"/>
              </w:tabs>
              <w:rPr>
                <w:sz w:val="18"/>
              </w:rPr>
            </w:pPr>
            <w:r>
              <w:rPr>
                <w:sz w:val="18"/>
              </w:rPr>
              <w:t>Approvals required to implement and change the strategy</w:t>
            </w:r>
          </w:p>
        </w:tc>
      </w:tr>
      <w:tr>
        <w:trPr>
          <w:trHeight w:val="1182"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sz w:val="18"/>
                <w:u w:val="single"/>
              </w:rPr>
            </w:pPr>
            <w:r>
              <w:rPr>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and Operational Completeness and Accuracy</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Revenue Recording Activities</w:t>
            </w:r>
          </w:p>
        </w:tc>
        <w:tc>
          <w:tcPr>
            <w:tcW w:w="270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Information is reported timely to management and other appropriate parties.</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79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14"/>
              </w:numPr>
              <w:tabs>
                <w:tab w:val="clear" w:pos="720"/>
                <w:tab w:val="left" w:pos="2160" w:leader="none"/>
              </w:tabs>
              <w:rPr>
                <w:sz w:val="18"/>
              </w:rPr>
            </w:pPr>
            <w:r>
              <w:rPr>
                <w:sz w:val="18"/>
              </w:rPr>
              <w:t>The MPR is e-mailed to the various business units each day around noon after tie-out with the Corporate DPR.</w:t>
            </w:r>
          </w:p>
        </w:tc>
        <w:tc>
          <w:tcPr>
            <w:tcW w:w="3690" w:type="dxa"/>
            <w:tcBorders>
              <w:top w:val="single" w:sz="6" w:space="0" w:color="000000"/>
              <w:start w:val="single" w:sz="6" w:space="0" w:color="000000"/>
              <w:bottom w:val="single" w:sz="6" w:space="0" w:color="000000"/>
              <w:end w:val="single" w:sz="6" w:space="0" w:color="000000"/>
            </w:tcBorders>
          </w:tcPr>
          <w:p>
            <w:pPr>
              <w:pStyle w:val="Normal"/>
              <w:numPr>
                <w:ilvl w:val="0"/>
                <w:numId w:val="9"/>
              </w:numPr>
              <w:tabs>
                <w:tab w:val="clear" w:pos="720"/>
                <w:tab w:val="left" w:pos="2160" w:leader="none"/>
              </w:tabs>
              <w:rPr>
                <w:sz w:val="18"/>
              </w:rPr>
            </w:pPr>
            <w:r>
              <w:rPr>
                <w:sz w:val="18"/>
              </w:rPr>
              <w:t>None</w:t>
            </w:r>
          </w:p>
          <w:p>
            <w:pPr>
              <w:pStyle w:val="Normal"/>
              <w:tabs>
                <w:tab w:val="clear" w:pos="720"/>
                <w:tab w:val="left" w:pos="2160" w:leader="none"/>
              </w:tabs>
              <w:rPr>
                <w:sz w:val="18"/>
              </w:rPr>
            </w:pPr>
            <w:r>
              <w:rPr>
                <w:sz w:val="18"/>
              </w:rPr>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13"/>
              </w:numPr>
              <w:rPr>
                <w:sz w:val="18"/>
              </w:rPr>
            </w:pPr>
            <w:r>
              <w:rPr>
                <w:sz w:val="18"/>
              </w:rPr>
              <w:t>None</w:t>
            </w:r>
          </w:p>
        </w:tc>
      </w:tr>
      <w:tr>
        <w:trPr>
          <w:trHeight w:val="1452"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sz w:val="18"/>
                <w:u w:val="single"/>
              </w:rPr>
            </w:pPr>
            <w:r>
              <w:rPr>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Systems</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Access and Security</w:t>
            </w:r>
          </w:p>
        </w:tc>
        <w:tc>
          <w:tcPr>
            <w:tcW w:w="270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Sufficient security controls are in place to ensure only appropriate use.</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79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2160" w:leader="none"/>
              </w:tabs>
              <w:rPr>
                <w:sz w:val="18"/>
              </w:rPr>
            </w:pPr>
            <w:r>
              <w:rPr>
                <w:sz w:val="18"/>
              </w:rPr>
              <w:t>The directory where the MPR files are stored restricts access to only the Merchant Portfolio Reporting Group.  The business units receive custom e-mails containing specific information from the MPR.</w:t>
            </w:r>
          </w:p>
        </w:tc>
        <w:tc>
          <w:tcPr>
            <w:tcW w:w="3690" w:type="dxa"/>
            <w:tcBorders>
              <w:top w:val="single" w:sz="6" w:space="0" w:color="000000"/>
              <w:start w:val="single" w:sz="6" w:space="0" w:color="000000"/>
              <w:bottom w:val="single" w:sz="6" w:space="0" w:color="000000"/>
              <w:end w:val="single" w:sz="6" w:space="0" w:color="000000"/>
            </w:tcBorders>
          </w:tcPr>
          <w:p>
            <w:pPr>
              <w:pStyle w:val="Normal"/>
              <w:numPr>
                <w:ilvl w:val="0"/>
                <w:numId w:val="12"/>
              </w:numPr>
              <w:tabs>
                <w:tab w:val="clear" w:pos="720"/>
                <w:tab w:val="left" w:pos="2160" w:leader="none"/>
              </w:tabs>
              <w:rPr>
                <w:sz w:val="18"/>
              </w:rPr>
            </w:pPr>
            <w:r>
              <w:rPr>
                <w:sz w:val="18"/>
              </w:rPr>
              <w:t>None</w:t>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tabs>
                <w:tab w:val="clear" w:pos="720"/>
                <w:tab w:val="left" w:pos="2160" w:leader="none"/>
              </w:tabs>
              <w:rPr>
                <w:sz w:val="18"/>
              </w:rPr>
            </w:pPr>
            <w:r>
              <w:rPr>
                <w:sz w:val="18"/>
              </w:rPr>
              <w:t>None</w:t>
            </w:r>
          </w:p>
        </w:tc>
      </w:tr>
    </w:tbl>
    <w:p>
      <w:pPr>
        <w:pStyle w:val="Normal"/>
        <w:rPr/>
      </w:pPr>
      <w:r>
        <w:rPr/>
      </w:r>
    </w:p>
    <w:sectPr>
      <w:headerReference w:type="default" r:id="rId2"/>
      <w:footerReference w:type="default" r:id="rId3"/>
      <w:type w:val="nextPage"/>
      <w:pgSz w:orient="landscape" w:w="20160" w:h="12240"/>
      <w:pgMar w:left="1440" w:right="1440" w:gutter="0" w:header="720" w:top="180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858.4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Enron North America – Investment Portfolio Analysis</w:t>
    </w:r>
  </w:p>
  <w:p>
    <w:pPr>
      <w:pStyle w:val="Header"/>
      <w:jc w:val="center"/>
      <w:rPr>
        <w:b/>
        <w:sz w:val="24"/>
      </w:rPr>
    </w:pPr>
    <w:r>
      <w:rPr>
        <w:b/>
        <w:sz w:val="24"/>
      </w:rPr>
      <w:t>Business Risk Management (BRM) Project Reporting Format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3"/>
        </w:tabs>
        <w:ind w:start="283" w:hanging="283"/>
      </w:pPr>
      <w:rPr>
        <w:rFonts w:ascii="Symbol" w:hAnsi="Symbol" w:cs="Symbol" w:hint="default"/>
      </w:rPr>
    </w:lvl>
  </w:abstractNum>
  <w:abstractNum w:abstractNumId="3">
    <w:lvl w:ilvl="0">
      <w:start w:val="1"/>
      <w:numFmt w:val="bullet"/>
      <w:lvlText w:val=""/>
      <w:lvlJc w:val="start"/>
      <w:pPr>
        <w:tabs>
          <w:tab w:val="num" w:pos="283"/>
        </w:tabs>
        <w:ind w:start="283" w:hanging="283"/>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432"/>
        </w:tabs>
        <w:ind w:start="432"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283"/>
        </w:tabs>
        <w:ind w:start="283" w:hanging="283"/>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abstractNum w:abstractNumId="15">
    <w:lvl w:ilvl="0">
      <w:start w:val="1"/>
      <w:numFmt w:val="bullet"/>
      <w:lvlText w:val=""/>
      <w:lvlJc w:val="start"/>
      <w:pPr>
        <w:tabs>
          <w:tab w:val="num" w:pos="432"/>
        </w:tabs>
        <w:ind w:start="432" w:hanging="360"/>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start w:val="1"/>
      <w:numFmt w:val="bullet"/>
      <w:lvlText w:val=""/>
      <w:lvlJc w:val="start"/>
      <w:pPr>
        <w:tabs>
          <w:tab w:val="num" w:pos="432"/>
        </w:tabs>
        <w:ind w:start="432"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i/>
      <w:lang w:eastAsia="en-US"/>
    </w:rPr>
  </w:style>
  <w:style w:type="paragraph" w:styleId="Heading2">
    <w:name w:val="heading 2"/>
    <w:basedOn w:val="Normal"/>
    <w:next w:val="Normal"/>
    <w:qFormat/>
    <w:pPr>
      <w:keepNext w:val="true"/>
      <w:numPr>
        <w:ilvl w:val="1"/>
        <w:numId w:val="1"/>
      </w:numPr>
      <w:outlineLvl w:val="1"/>
    </w:pPr>
    <w:rPr>
      <w:b/>
      <w:sz w:val="24"/>
      <w:lang w:eastAsia="en-US"/>
    </w:rPr>
  </w:style>
  <w:style w:type="paragraph" w:styleId="Heading3">
    <w:name w:val="heading 3"/>
    <w:basedOn w:val="Normal"/>
    <w:next w:val="Normal"/>
    <w:qFormat/>
    <w:pPr>
      <w:keepNext w:val="true"/>
      <w:numPr>
        <w:ilvl w:val="2"/>
        <w:numId w:val="1"/>
      </w:numPr>
      <w:ind w:hanging="0" w:start="720" w:end="0"/>
      <w:outlineLvl w:val="2"/>
    </w:pPr>
    <w:rPr>
      <w:i/>
      <w:lang w:eastAsia="en-US"/>
    </w:rPr>
  </w:style>
  <w:style w:type="paragraph" w:styleId="Heading4">
    <w:name w:val="heading 4"/>
    <w:basedOn w:val="Normal"/>
    <w:next w:val="Normal"/>
    <w:qFormat/>
    <w:pPr>
      <w:keepNext w:val="true"/>
      <w:numPr>
        <w:ilvl w:val="3"/>
        <w:numId w:val="1"/>
      </w:numPr>
      <w:outlineLvl w:val="3"/>
    </w:pPr>
    <w:rPr>
      <w:b/>
      <w:lang w:eastAsia="en-US"/>
    </w:rPr>
  </w:style>
  <w:style w:type="paragraph" w:styleId="Heading5">
    <w:name w:val="heading 5"/>
    <w:basedOn w:val="Normal"/>
    <w:next w:val="Normal"/>
    <w:qFormat/>
    <w:pPr>
      <w:keepNext w:val="true"/>
      <w:widowControl w:val="false"/>
      <w:numPr>
        <w:ilvl w:val="4"/>
        <w:numId w:val="1"/>
      </w:numPr>
      <w:outlineLvl w:val="4"/>
    </w:pPr>
    <w:rPr>
      <w:b/>
      <w:i/>
      <w:sz w:val="28"/>
      <w:lang w:eastAsia="en-US"/>
    </w:rPr>
  </w:style>
  <w:style w:type="paragraph" w:styleId="Heading8">
    <w:name w:val="heading 8"/>
    <w:basedOn w:val="Normal"/>
    <w:next w:val="Normal"/>
    <w:qFormat/>
    <w:pPr>
      <w:keepNext w:val="true"/>
      <w:numPr>
        <w:ilvl w:val="7"/>
        <w:numId w:val="1"/>
      </w:numPr>
      <w:tabs>
        <w:tab w:val="clear" w:pos="720"/>
        <w:tab w:val="left" w:pos="2160" w:leader="none"/>
      </w:tabs>
      <w:ind w:hanging="0" w:start="1440" w:end="0"/>
      <w:outlineLvl w:val="7"/>
    </w:pPr>
    <w:rPr>
      <w:i/>
      <w:sz w:val="20"/>
      <w:lang w:eastAsia="en-U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sz w:val="18"/>
    </w:rPr>
  </w:style>
  <w:style w:type="character" w:styleId="WW8Num10z0">
    <w:name w:val="WW8Num10z0"/>
    <w:qFormat/>
    <w:rPr>
      <w:rFonts w:ascii="Symbol" w:hAnsi="Symbol" w:cs="Symbol"/>
    </w:rPr>
  </w:style>
  <w:style w:type="character" w:styleId="WW8Num11z0">
    <w:name w:val="WW8Num11z0"/>
    <w:qFormat/>
    <w:rPr>
      <w:rFonts w:ascii="Symbol" w:hAnsi="Symbol" w:cs="Symbol"/>
      <w:sz w:val="18"/>
    </w:rPr>
  </w:style>
  <w:style w:type="character" w:styleId="WW8Num12z0">
    <w:name w:val="WW8Num12z0"/>
    <w:qFormat/>
    <w:rPr>
      <w:rFonts w:ascii="Book Antiqua" w:hAnsi="Book Antiqua" w:cs="Book Antiqua"/>
      <w:sz w:val="18"/>
    </w:rPr>
  </w:style>
  <w:style w:type="character" w:styleId="WW8Num13z0">
    <w:name w:val="WW8Num13z0"/>
    <w:qFormat/>
    <w:rPr>
      <w:rFonts w:ascii="Symbol" w:hAnsi="Symbol" w:cs="Symbol"/>
      <w:sz w:val="18"/>
    </w:rPr>
  </w:style>
  <w:style w:type="character" w:styleId="WW8Num14z0">
    <w:name w:val="WW8Num14z0"/>
    <w:qFormat/>
    <w:rPr>
      <w:rFonts w:ascii="Symbol" w:hAnsi="Symbol" w:cs="Symbol"/>
    </w:rPr>
  </w:style>
  <w:style w:type="character" w:styleId="WW8Num15z0">
    <w:name w:val="WW8Num15z0"/>
    <w:qFormat/>
    <w:rPr>
      <w:rFonts w:ascii="Book Antiqua" w:hAnsi="Book Antiqua" w:cs="Book Antiqua"/>
      <w:sz w:val="18"/>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sz w:val="18"/>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sz w:val="18"/>
    </w:rPr>
  </w:style>
  <w:style w:type="character" w:styleId="WW8Num43z0">
    <w:name w:val="WW8Num43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Book Antiqua" w:hAnsi="Book Antiqua" w:cs="Book Antiqua"/>
      <w:sz w:val="18"/>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color w:val="auto"/>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9z0">
    <w:name w:val="WW8Num59z0"/>
    <w:qFormat/>
    <w:rPr>
      <w:rFonts w:ascii="Symbol" w:hAnsi="Symbol" w:cs="Symbol"/>
      <w:sz w:val="18"/>
    </w:rPr>
  </w:style>
  <w:style w:type="character" w:styleId="WW8Num60z0">
    <w:name w:val="WW8Num60z0"/>
    <w:qFormat/>
    <w:rPr>
      <w:rFonts w:ascii="Symbol" w:hAnsi="Symbol" w:cs="Symbol"/>
    </w:rPr>
  </w:style>
  <w:style w:type="character" w:styleId="WW8Num62z0">
    <w:name w:val="WW8Num62z0"/>
    <w:qFormat/>
    <w:rPr>
      <w:rFonts w:ascii="Book Antiqua" w:hAnsi="Book Antiqua" w:cs="Book Antiqua"/>
      <w:sz w:val="18"/>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sz w:val="18"/>
    </w:rPr>
  </w:style>
  <w:style w:type="character" w:styleId="WW8Num73z0">
    <w:name w:val="WW8Num73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sz w:val="18"/>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sz w:val="18"/>
    </w:rPr>
  </w:style>
  <w:style w:type="character" w:styleId="WW8Num87z0">
    <w:name w:val="WW8Num87z0"/>
    <w:qFormat/>
    <w:rPr>
      <w:rFonts w:ascii="Symbol" w:hAnsi="Symbol" w:cs="Symbol"/>
    </w:rPr>
  </w:style>
  <w:style w:type="character" w:styleId="WW8Num88z0">
    <w:name w:val="WW8Num88z0"/>
    <w:qFormat/>
    <w:rPr>
      <w:rFonts w:ascii="Symbol" w:hAnsi="Symbol" w:cs="Symbol"/>
      <w:sz w:val="18"/>
    </w:rPr>
  </w:style>
  <w:style w:type="character" w:styleId="WW8Num89z0">
    <w:name w:val="WW8Num89z0"/>
    <w:qFormat/>
    <w:rPr>
      <w:rFonts w:ascii="Symbol" w:hAnsi="Symbol" w:cs="Symbol"/>
    </w:rPr>
  </w:style>
  <w:style w:type="character" w:styleId="WW8Num91z0">
    <w:name w:val="WW8Num91z0"/>
    <w:qFormat/>
    <w:rPr>
      <w:rFonts w:ascii="Symbol" w:hAnsi="Symbol" w:cs="Symbol"/>
      <w:sz w:val="18"/>
    </w:rPr>
  </w:style>
  <w:style w:type="character" w:styleId="WW8Num92z0">
    <w:name w:val="WW8Num92z0"/>
    <w:qFormat/>
    <w:rPr>
      <w:rFonts w:ascii="Symbol" w:hAnsi="Symbol" w:cs="Symbol"/>
    </w:rPr>
  </w:style>
  <w:style w:type="character" w:styleId="WW8Num93z0">
    <w:name w:val="WW8Num93z0"/>
    <w:qFormat/>
    <w:rPr>
      <w:rFonts w:ascii="Symbol" w:hAnsi="Symbol" w:cs="Symbol"/>
      <w:sz w:val="18"/>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sz w:val="18"/>
    </w:rPr>
  </w:style>
  <w:style w:type="character" w:styleId="WW8Num100z0">
    <w:name w:val="WW8Num100z0"/>
    <w:qFormat/>
    <w:rPr>
      <w:rFonts w:ascii="Symbol" w:hAnsi="Symbol" w:cs="Symbol"/>
    </w:rPr>
  </w:style>
  <w:style w:type="character" w:styleId="WW8Num101z0">
    <w:name w:val="WW8Num101z0"/>
    <w:qFormat/>
    <w:rPr>
      <w:rFonts w:ascii="Symbol" w:hAnsi="Symbol" w:cs="Symbol"/>
      <w:sz w:val="16"/>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5z0">
    <w:name w:val="WW8Num105z0"/>
    <w:qFormat/>
    <w:rPr>
      <w:rFonts w:ascii="Symbol" w:hAnsi="Symbol" w:cs="Symbol"/>
      <w:sz w:val="18"/>
    </w:rPr>
  </w:style>
  <w:style w:type="character" w:styleId="WW8Num106z0">
    <w:name w:val="WW8Num106z0"/>
    <w:qFormat/>
    <w:rPr>
      <w:rFonts w:ascii="Symbol" w:hAnsi="Symbol" w:cs="Symbol"/>
    </w:rPr>
  </w:style>
  <w:style w:type="character" w:styleId="WW8Num107z0">
    <w:name w:val="WW8Num107z0"/>
    <w:qFormat/>
    <w:rPr>
      <w:rFonts w:ascii="Symbol" w:hAnsi="Symbol" w:cs="Symbol"/>
      <w:sz w:val="16"/>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sz w:val="18"/>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6z0">
    <w:name w:val="WW8Num116z0"/>
    <w:qFormat/>
    <w:rPr>
      <w:rFonts w:ascii="Book Antiqua" w:hAnsi="Book Antiqua" w:cs="Book Antiqua"/>
      <w:sz w:val="18"/>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sz w:val="18"/>
    </w:rPr>
  </w:style>
  <w:style w:type="character" w:styleId="WW8Num131z0">
    <w:name w:val="WW8Num131z0"/>
    <w:qFormat/>
    <w:rPr>
      <w:rFonts w:ascii="Symbol" w:hAnsi="Symbol" w:cs="Symbol"/>
      <w:sz w:val="18"/>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sz w:val="18"/>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sz w:val="18"/>
    </w:rPr>
  </w:style>
  <w:style w:type="character" w:styleId="WW8Num145z0">
    <w:name w:val="WW8Num145z0"/>
    <w:qFormat/>
    <w:rPr>
      <w:rFonts w:ascii="Symbol" w:hAnsi="Symbol" w:cs="Symbol"/>
      <w:sz w:val="18"/>
    </w:rPr>
  </w:style>
  <w:style w:type="character" w:styleId="WW8Num146z0">
    <w:name w:val="WW8Num146z0"/>
    <w:qFormat/>
    <w:rPr>
      <w:rFonts w:ascii="Symbol" w:hAnsi="Symbol" w:cs="Symbol"/>
      <w:sz w:val="18"/>
    </w:rPr>
  </w:style>
  <w:style w:type="character" w:styleId="WW8Num147z0">
    <w:name w:val="WW8Num147z0"/>
    <w:qFormat/>
    <w:rPr>
      <w:rFonts w:ascii="Symbol" w:hAnsi="Symbol" w:cs="Symbol"/>
    </w:rPr>
  </w:style>
  <w:style w:type="character" w:styleId="WW8Num148z0">
    <w:name w:val="WW8Num148z0"/>
    <w:qFormat/>
    <w:rPr>
      <w:rFonts w:ascii="Symbol" w:hAnsi="Symbol" w:cs="Symbol"/>
      <w:color w:val="auto"/>
    </w:rPr>
  </w:style>
  <w:style w:type="character" w:styleId="WW8Num149z0">
    <w:name w:val="WW8Num149z0"/>
    <w:qFormat/>
    <w:rPr>
      <w:rFonts w:ascii="Book Antiqua" w:hAnsi="Book Antiqua" w:cs="Book Antiqua"/>
      <w:sz w:val="18"/>
    </w:rPr>
  </w:style>
  <w:style w:type="character" w:styleId="WW8Num150z0">
    <w:name w:val="WW8Num150z0"/>
    <w:qFormat/>
    <w:rPr>
      <w:rFonts w:ascii="Symbol" w:hAnsi="Symbol" w:cs="Symbol"/>
    </w:rPr>
  </w:style>
  <w:style w:type="character" w:styleId="WW8Num151z0">
    <w:name w:val="WW8Num151z0"/>
    <w:qFormat/>
    <w:rPr>
      <w:rFonts w:ascii="Symbol" w:hAnsi="Symbol" w:cs="Symbol"/>
      <w:sz w:val="18"/>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sz w:val="18"/>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sz w:val="16"/>
    </w:rPr>
  </w:style>
  <w:style w:type="character" w:styleId="WW8Num160z0">
    <w:name w:val="WW8Num160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sz w:val="18"/>
    </w:rPr>
  </w:style>
  <w:style w:type="character" w:styleId="WW8Num167z0">
    <w:name w:val="WW8Num16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Book Antiqua" w:hAnsi="Book Antiqua" w:cs="Book Antiqua"/>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bidi w:val="0"/>
    </w:pPr>
    <w:rPr>
      <w:rFonts w:ascii="Book Antiqua" w:hAnsi="Book Antiqua" w:eastAsia="Times New Roman" w:cs="Book Antiqua"/>
      <w:color w:val="auto"/>
      <w:sz w:val="16"/>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IOCNORMAL">
    <w:name w:val="AIOC NORMAL"/>
    <w:basedOn w:val="Normal"/>
    <w:qFormat/>
    <w:pPr>
      <w:tabs>
        <w:tab w:val="clear" w:pos="720"/>
        <w:tab w:val="left" w:pos="1440" w:leader="none"/>
      </w:tabs>
    </w:pPr>
    <w:rPr/>
  </w:style>
  <w:style w:type="paragraph" w:styleId="BodyText3">
    <w:name w:val="Body Text 3"/>
    <w:basedOn w:val="Normal"/>
    <w:qFormat/>
    <w:pPr/>
    <w:rPr>
      <w:i/>
      <w:sz w:val="18"/>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2000-08-28T11:45:00Z</dcterms:created>
  <dc:creator>donnelcc</dc:creator>
  <dc:description/>
  <dc:language>en-CA</dc:language>
  <cp:lastModifiedBy>Arthur Andersen</cp:lastModifiedBy>
  <cp:lastPrinted>2000-08-28T09:13:00Z</cp:lastPrinted>
  <dcterms:modified xsi:type="dcterms:W3CDTF">2000-08-28T11:45:00Z</dcterms:modified>
  <cp:revision>2</cp:revision>
  <dc:subject/>
  <dc:title>Project Name</dc:title>
</cp:coreProperties>
</file>