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Times New Roman" w:hAnsi="Times New Roman" w:cs="Times New Roman"/>
          <w:sz w:val="21"/>
        </w:rPr>
      </w:pPr>
      <w:r>
        <w:rPr>
          <w:rFonts w:cs="Times New Roman" w:ascii="Times New Roman" w:hAnsi="Times New Roman"/>
          <w:sz w:val="21"/>
        </w:rPr>
        <w:t>September 22, 1999</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b/>
          <w:sz w:val="21"/>
        </w:rPr>
      </w:pPr>
      <w:r>
        <w:rPr>
          <w:rFonts w:cs="Times New Roman" w:ascii="Times New Roman" w:hAnsi="Times New Roman"/>
          <w:b/>
          <w:sz w:val="21"/>
        </w:rPr>
        <w:t>GENERAL INFORMATION</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The Greater Houston Community Foundation</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SCOPE OF THIS INVESTMENT POLICY</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This statement of investment policy reflects the investment policy, objectives, and constraints of the Greater Houston Community Foundation.</w:t>
      </w:r>
    </w:p>
    <w:p>
      <w:pPr>
        <w:pStyle w:val="lin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PURPOSE OF THIS INVESTMENT POLICY STATEMENT</w:t>
      </w:r>
    </w:p>
    <w:p>
      <w:pPr>
        <w:pStyle w:val="Normal"/>
        <w:rPr>
          <w:rFonts w:ascii="Times New Roman" w:hAnsi="Times New Roman" w:cs="Times New Roman"/>
          <w:b/>
          <w:sz w:val="21"/>
        </w:rPr>
      </w:pPr>
      <w:r>
        <w:rPr>
          <w:rFonts w:cs="Times New Roman" w:ascii="Times New Roman" w:hAnsi="Times New Roman"/>
          <w:b/>
          <w:sz w:val="21"/>
        </w:rPr>
      </w:r>
    </w:p>
    <w:p>
      <w:pPr>
        <w:pStyle w:val="Normal"/>
        <w:jc w:val="start"/>
        <w:rPr>
          <w:rFonts w:ascii="Times New Roman" w:hAnsi="Times New Roman" w:cs="Times New Roman"/>
          <w:sz w:val="21"/>
        </w:rPr>
      </w:pPr>
      <w:r>
        <w:rPr>
          <w:rFonts w:cs="Times New Roman" w:ascii="Times New Roman" w:hAnsi="Times New Roman"/>
          <w:sz w:val="21"/>
        </w:rPr>
        <w:t>This statement of investment policy is set forth by the Investment Committee of The Greater Houston Community Foundation in order to:</w:t>
      </w:r>
    </w:p>
    <w:p>
      <w:pPr>
        <w:pStyle w:val="Normal"/>
        <w:jc w:val="start"/>
        <w:rPr>
          <w:rFonts w:ascii="Times New Roman" w:hAnsi="Times New Roman" w:cs="Times New Roman"/>
          <w:sz w:val="21"/>
        </w:rPr>
      </w:pPr>
      <w:r>
        <w:rPr>
          <w:rFonts w:cs="Times New Roman" w:ascii="Times New Roman" w:hAnsi="Times New Roman"/>
          <w:sz w:val="21"/>
        </w:rPr>
      </w:r>
    </w:p>
    <w:p>
      <w:pPr>
        <w:pStyle w:val="Normal"/>
        <w:ind w:hanging="360" w:start="720" w:end="0"/>
        <w:jc w:val="start"/>
        <w:rPr>
          <w:rFonts w:ascii="Times New Roman" w:hAnsi="Times New Roman" w:cs="Times New Roman"/>
          <w:sz w:val="21"/>
        </w:rPr>
      </w:pPr>
      <w:r>
        <w:rPr>
          <w:rFonts w:cs="Times New Roman" w:ascii="Times New Roman" w:hAnsi="Times New Roman"/>
          <w:sz w:val="21"/>
        </w:rPr>
        <w:t>1.</w:t>
        <w:tab/>
        <w:t>Define and assign the responsibilities of all involved parties.</w:t>
      </w:r>
    </w:p>
    <w:p>
      <w:pPr>
        <w:pStyle w:val="Normal"/>
        <w:ind w:hanging="360" w:start="720" w:end="0"/>
        <w:jc w:val="start"/>
        <w:rPr>
          <w:rFonts w:ascii="Times New Roman" w:hAnsi="Times New Roman" w:cs="Times New Roman"/>
          <w:sz w:val="21"/>
        </w:rPr>
      </w:pPr>
      <w:r>
        <w:rPr>
          <w:rFonts w:cs="Times New Roman" w:ascii="Times New Roman" w:hAnsi="Times New Roman"/>
          <w:sz w:val="21"/>
        </w:rPr>
      </w:r>
    </w:p>
    <w:p>
      <w:pPr>
        <w:pStyle w:val="Normal"/>
        <w:ind w:hanging="360" w:start="720" w:end="0"/>
        <w:jc w:val="start"/>
        <w:rPr>
          <w:rFonts w:ascii="Times New Roman" w:hAnsi="Times New Roman" w:cs="Times New Roman"/>
          <w:sz w:val="21"/>
        </w:rPr>
      </w:pPr>
      <w:r>
        <w:rPr>
          <w:rFonts w:cs="Times New Roman" w:ascii="Times New Roman" w:hAnsi="Times New Roman"/>
          <w:sz w:val="21"/>
        </w:rPr>
        <w:t>2.</w:t>
        <w:tab/>
        <w:t xml:space="preserve">Establish a clear understanding for all involved parties of the investment goals and objectives of the Foundation assets.  The primary investment objective is to earn an average annual total return of at least 5% above the inflation rate and administrative and investment fees. </w:t>
      </w:r>
    </w:p>
    <w:p>
      <w:pPr>
        <w:pStyle w:val="Normal"/>
        <w:ind w:hanging="360" w:start="720" w:end="0"/>
        <w:jc w:val="start"/>
        <w:rPr>
          <w:rFonts w:ascii="Times New Roman" w:hAnsi="Times New Roman" w:cs="Times New Roman"/>
          <w:sz w:val="21"/>
        </w:rPr>
      </w:pPr>
      <w:r>
        <w:rPr>
          <w:rFonts w:cs="Times New Roman" w:ascii="Times New Roman" w:hAnsi="Times New Roman"/>
          <w:sz w:val="21"/>
        </w:rPr>
      </w:r>
    </w:p>
    <w:p>
      <w:pPr>
        <w:pStyle w:val="Normal"/>
        <w:ind w:hanging="360" w:start="720" w:end="0"/>
        <w:jc w:val="start"/>
        <w:rPr>
          <w:rFonts w:ascii="Times New Roman" w:hAnsi="Times New Roman" w:cs="Times New Roman"/>
          <w:sz w:val="21"/>
        </w:rPr>
      </w:pPr>
      <w:r>
        <w:rPr>
          <w:rFonts w:cs="Times New Roman" w:ascii="Times New Roman" w:hAnsi="Times New Roman"/>
          <w:sz w:val="21"/>
        </w:rPr>
        <w:t>3.</w:t>
        <w:tab/>
        <w:t>Offer guidance and limitations to all Investment Managers regarding the investment of the Foundation assets.</w:t>
      </w:r>
    </w:p>
    <w:p>
      <w:pPr>
        <w:pStyle w:val="Normal"/>
        <w:ind w:hanging="360" w:start="720" w:end="0"/>
        <w:jc w:val="start"/>
        <w:rPr>
          <w:rFonts w:ascii="Times New Roman" w:hAnsi="Times New Roman" w:cs="Times New Roman"/>
          <w:sz w:val="21"/>
        </w:rPr>
      </w:pPr>
      <w:r>
        <w:rPr>
          <w:rFonts w:cs="Times New Roman" w:ascii="Times New Roman" w:hAnsi="Times New Roman"/>
          <w:sz w:val="21"/>
        </w:rPr>
      </w:r>
    </w:p>
    <w:p>
      <w:pPr>
        <w:pStyle w:val="Normal"/>
        <w:ind w:hanging="360" w:start="720" w:end="0"/>
        <w:jc w:val="start"/>
        <w:rPr>
          <w:rFonts w:ascii="Times New Roman" w:hAnsi="Times New Roman" w:cs="Times New Roman"/>
          <w:sz w:val="21"/>
        </w:rPr>
      </w:pPr>
      <w:r>
        <w:rPr>
          <w:rFonts w:cs="Times New Roman" w:ascii="Times New Roman" w:hAnsi="Times New Roman"/>
          <w:sz w:val="21"/>
        </w:rPr>
        <w:t>4.</w:t>
        <w:tab/>
        <w:t>Establish a basis for monitoring and evaluating investment results.</w:t>
      </w:r>
    </w:p>
    <w:p>
      <w:pPr>
        <w:pStyle w:val="Normal"/>
        <w:ind w:hanging="360" w:start="720" w:end="0"/>
        <w:jc w:val="start"/>
        <w:rPr>
          <w:rFonts w:ascii="Times New Roman" w:hAnsi="Times New Roman" w:cs="Times New Roman"/>
          <w:sz w:val="21"/>
        </w:rPr>
      </w:pPr>
      <w:r>
        <w:rPr>
          <w:rFonts w:cs="Times New Roman" w:ascii="Times New Roman" w:hAnsi="Times New Roman"/>
          <w:sz w:val="21"/>
        </w:rPr>
      </w:r>
    </w:p>
    <w:p>
      <w:pPr>
        <w:pStyle w:val="Normal"/>
        <w:ind w:hanging="360" w:start="720" w:end="0"/>
        <w:jc w:val="start"/>
        <w:rPr>
          <w:rFonts w:ascii="Times New Roman" w:hAnsi="Times New Roman" w:cs="Times New Roman"/>
          <w:sz w:val="21"/>
        </w:rPr>
      </w:pPr>
      <w:r>
        <w:rPr>
          <w:rFonts w:cs="Times New Roman" w:ascii="Times New Roman" w:hAnsi="Times New Roman"/>
          <w:sz w:val="21"/>
        </w:rPr>
        <w:t>5.</w:t>
        <w:tab/>
        <w:t>Manage Foundation assets according to prudent standards as established in common trust law.</w:t>
      </w:r>
    </w:p>
    <w:p>
      <w:pPr>
        <w:pStyle w:val="Normal"/>
        <w:ind w:hanging="360" w:start="720" w:end="0"/>
        <w:jc w:val="start"/>
        <w:rPr>
          <w:rFonts w:ascii="Times New Roman" w:hAnsi="Times New Roman" w:cs="Times New Roman"/>
          <w:sz w:val="21"/>
        </w:rPr>
      </w:pPr>
      <w:r>
        <w:rPr>
          <w:rFonts w:cs="Times New Roman" w:ascii="Times New Roman" w:hAnsi="Times New Roman"/>
          <w:sz w:val="21"/>
        </w:rPr>
      </w:r>
    </w:p>
    <w:p>
      <w:pPr>
        <w:pStyle w:val="Normal"/>
        <w:ind w:hanging="360" w:start="720" w:end="0"/>
        <w:jc w:val="start"/>
        <w:rPr>
          <w:rFonts w:ascii="Times New Roman" w:hAnsi="Times New Roman" w:cs="Times New Roman"/>
          <w:sz w:val="21"/>
        </w:rPr>
      </w:pPr>
      <w:r>
        <w:rPr>
          <w:rFonts w:cs="Times New Roman" w:ascii="Times New Roman" w:hAnsi="Times New Roman"/>
          <w:sz w:val="21"/>
        </w:rPr>
        <w:t>6.</w:t>
        <w:tab/>
        <w:t>Establish the relevant investment horizon for which the Foundation assets will be managed.</w:t>
      </w:r>
    </w:p>
    <w:p>
      <w:pPr>
        <w:pStyle w:val="Normal"/>
        <w:ind w:hanging="360" w:start="360" w:end="0"/>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In general, the purpose of this statement is to outline a philosophy and attitude, which will guide the investment management of the assets toward the desired results.  It is intended to be sufficiently specific to be meaningful, yet flexible enough to be practical.</w:t>
      </w:r>
    </w:p>
    <w:p>
      <w:pPr>
        <w:pStyle w:val="Normal"/>
        <w:rPr>
          <w:rFonts w:ascii="Times New Roman" w:hAnsi="Times New Roman" w:cs="Times New Roman"/>
          <w:sz w:val="21"/>
        </w:rPr>
      </w:pPr>
      <w:r>
        <w:rPr>
          <w:rFonts w:cs="Times New Roman" w:ascii="Times New Roman" w:hAnsi="Times New Roman"/>
          <w:sz w:val="21"/>
        </w:rPr>
      </w:r>
    </w:p>
    <w:p>
      <w:pPr>
        <w:pStyle w:val="lin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ASSIGNMENT OF RESPONSIBILITY</w:t>
      </w:r>
    </w:p>
    <w:p>
      <w:pPr>
        <w:pStyle w:val="Normal"/>
        <w:ind w:hanging="504" w:start="504" w:end="0"/>
        <w:rPr>
          <w:rFonts w:ascii="Times New Roman" w:hAnsi="Times New Roman" w:cs="Times New Roman"/>
          <w:b/>
          <w:sz w:val="21"/>
        </w:rPr>
      </w:pPr>
      <w:r>
        <w:rPr>
          <w:rFonts w:cs="Times New Roman" w:ascii="Times New Roman" w:hAnsi="Times New Roman"/>
          <w:b/>
          <w:sz w:val="21"/>
        </w:rPr>
      </w:r>
    </w:p>
    <w:p>
      <w:pPr>
        <w:pStyle w:val="Normal"/>
        <w:ind w:hanging="504" w:start="504" w:end="0"/>
        <w:rPr>
          <w:rFonts w:ascii="Times New Roman" w:hAnsi="Times New Roman" w:cs="Times New Roman"/>
          <w:b/>
          <w:sz w:val="21"/>
        </w:rPr>
      </w:pPr>
      <w:r>
        <w:rPr>
          <w:rFonts w:cs="Times New Roman" w:ascii="Times New Roman" w:hAnsi="Times New Roman"/>
          <w:b/>
          <w:sz w:val="21"/>
        </w:rPr>
        <w:t xml:space="preserve">Investment Committee </w:t>
      </w:r>
    </w:p>
    <w:p>
      <w:pPr>
        <w:pStyle w:val="Footer"/>
        <w:tabs>
          <w:tab w:val="clear" w:pos="4320"/>
          <w:tab w:val="clear" w:pos="8640"/>
        </w:tabs>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The Board of Directors of the Greater Houston Community Foundation has the responsibility for the management of the assets of the Greater Houston Community Foundation.  The specific responsibilities of the Investment Committee relating to the investment management of the Foundation assets include:</w:t>
      </w:r>
    </w:p>
    <w:p>
      <w:pPr>
        <w:pStyle w:val="Normal"/>
        <w:rPr>
          <w:rFonts w:ascii="Times New Roman" w:hAnsi="Times New Roman" w:cs="Times New Roman"/>
          <w:sz w:val="21"/>
        </w:rPr>
      </w:pPr>
      <w:r>
        <w:rPr>
          <w:rFonts w:cs="Times New Roman" w:ascii="Times New Roman" w:hAnsi="Times New Roman"/>
          <w:sz w:val="21"/>
        </w:rPr>
      </w:r>
    </w:p>
    <w:p>
      <w:pPr>
        <w:pStyle w:val="Normal"/>
        <w:numPr>
          <w:ilvl w:val="0"/>
          <w:numId w:val="5"/>
        </w:numPr>
        <w:rPr>
          <w:rFonts w:ascii="Times New Roman" w:hAnsi="Times New Roman" w:cs="Times New Roman"/>
          <w:sz w:val="21"/>
        </w:rPr>
      </w:pPr>
      <w:r>
        <w:rPr>
          <w:rFonts w:cs="Times New Roman" w:ascii="Times New Roman" w:hAnsi="Times New Roman"/>
          <w:sz w:val="21"/>
        </w:rPr>
        <w:t>Establishing and communicating reasonable and consistent investment objectives, policies and guidelines, which will provide guidance in the investment of the Foundations assets.</w:t>
      </w:r>
    </w:p>
    <w:p>
      <w:pPr>
        <w:pStyle w:val="Normal"/>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2.</w:t>
        <w:tab/>
        <w:t>Determining the Foundation's risk tolerance, investment horizon and communicating these to the investment managers.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3.</w:t>
        <w:tab/>
        <w:t>Prudently and diligently selecting qualified investment professionals, including Investment Manager(s), Investment Consultant(s), and Custodian(s).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4.</w:t>
        <w:tab/>
        <w:t>Regularly evaluating the performance of the Investment Manager(s) to assure adherence to policy guidelines and monitor investment objective progress.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numPr>
          <w:ilvl w:val="0"/>
          <w:numId w:val="3"/>
        </w:numPr>
        <w:jc w:val="start"/>
        <w:rPr>
          <w:rFonts w:ascii="Times New Roman" w:hAnsi="Times New Roman" w:cs="Times New Roman"/>
          <w:sz w:val="21"/>
        </w:rPr>
      </w:pPr>
      <w:r>
        <w:rPr>
          <w:rFonts w:cs="Times New Roman" w:ascii="Times New Roman" w:hAnsi="Times New Roman"/>
          <w:sz w:val="21"/>
        </w:rPr>
        <w:t>Developing and enacting proper control procedures: For example, replacing Investment Manager(s) due to fundamental change in investment management process, failure to comply with established guidelines or lack of investment performance.</w:t>
        <w:br/>
      </w:r>
    </w:p>
    <w:p>
      <w:pPr>
        <w:pStyle w:val="Normal"/>
        <w:numPr>
          <w:ilvl w:val="0"/>
          <w:numId w:val="3"/>
        </w:numPr>
        <w:rPr>
          <w:rFonts w:ascii="Times New Roman" w:hAnsi="Times New Roman" w:cs="Times New Roman"/>
          <w:sz w:val="21"/>
        </w:rPr>
      </w:pPr>
      <w:r>
        <w:rPr>
          <w:rFonts w:cs="Times New Roman" w:ascii="Times New Roman" w:hAnsi="Times New Roman"/>
          <w:sz w:val="21"/>
        </w:rPr>
        <w:t>Reporting to the executive committee the investment performance of the individual money managers and the cumulative investment performance results quarterly.</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b/>
          <w:sz w:val="21"/>
        </w:rPr>
      </w:pPr>
      <w:r>
        <w:rPr>
          <w:rFonts w:cs="Times New Roman" w:ascii="Times New Roman" w:hAnsi="Times New Roman"/>
          <w:b/>
          <w:sz w:val="21"/>
        </w:rPr>
        <w:t>Responsibility of the Investment Consultant(s)</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Specific responsibilities of the Investment Consultant include:</w:t>
      </w:r>
    </w:p>
    <w:p>
      <w:pPr>
        <w:pStyle w:val="Normal"/>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1.</w:t>
        <w:tab/>
        <w:t>Assisting in the development and periodic review of investment policy.</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2.</w:t>
        <w:tab/>
        <w:t>Conducting investment manager searches when requested by the Investment Committee.</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3.</w:t>
        <w:tab/>
        <w:t>Monitoring the performance of the Investment Manager(s) to provide the Investment Committee with the ability to determine the progress toward the investment objectives.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4.</w:t>
        <w:tab/>
        <w:t>Communicating matters of policy, manager research, and manager performance to the Investment Committee.</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5.</w:t>
        <w:tab/>
        <w:t>Reviewing Foundation investment history, historical capital markets performance and the contents of this investment policy statement to any newly appointed members of the Investment Committee.</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b/>
          <w:sz w:val="21"/>
        </w:rPr>
      </w:pPr>
      <w:r>
        <w:rPr>
          <w:rFonts w:cs="Times New Roman" w:ascii="Times New Roman" w:hAnsi="Times New Roman"/>
          <w:b/>
          <w:sz w:val="21"/>
        </w:rPr>
        <w:t>Responsibility of the Investment Manager(s)</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Each Investment Manager will have full discretion to make all investment decisions for the assets placed under its jurisdiction, while observing and operating within all policies, guidelines, constraints, and philosophies as outlined in this statement.  Specific responsibilities of the Investment Manager(s) include:</w:t>
      </w:r>
    </w:p>
    <w:p>
      <w:pPr>
        <w:pStyle w:val="Normal"/>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1.</w:t>
        <w:tab/>
        <w:t>Discretionary investment management including decisions to buy, sell, or hold individual securities, and to alter asset allocation within the guidelines established in this statement.</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2.</w:t>
        <w:tab/>
        <w:t>Reporting, on a timely basis, quarterly investment performance results.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3.</w:t>
        <w:tab/>
        <w:t>Communicating any major changes in economic outlook, investment strategy, or any other factors, which affect implementation of investment process, or the investment objective progress of the Foundation's investment management.</w:t>
      </w:r>
    </w:p>
    <w:p>
      <w:pPr>
        <w:pStyle w:val="Normal"/>
        <w:ind w:hanging="504" w:start="720" w:end="0"/>
        <w:rPr>
          <w:rFonts w:ascii="Times New Roman" w:hAnsi="Times New Roman" w:cs="Times New Roman"/>
          <w:sz w:val="21"/>
        </w:rPr>
      </w:pPr>
      <w:r>
        <w:rPr>
          <w:rFonts w:cs="Times New Roman" w:ascii="Times New Roman" w:hAnsi="Times New Roman"/>
          <w:sz w:val="21"/>
        </w:rPr>
        <w:t>4.</w:t>
        <w:tab/>
        <w:t>Informing the Investment Committee regarding any qualitative change to investment management organization.  Examples include changes in portfolio management personnel, ownership structure, investment philosophy, etc.</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BodyTextIndent"/>
        <w:rPr>
          <w:rFonts w:ascii="Times New Roman" w:hAnsi="Times New Roman" w:cs="Times New Roman"/>
          <w:sz w:val="21"/>
        </w:rPr>
      </w:pPr>
      <w:r>
        <w:rPr>
          <w:rFonts w:cs="Times New Roman" w:ascii="Times New Roman" w:hAnsi="Times New Roman"/>
          <w:sz w:val="21"/>
        </w:rPr>
        <w:t>5.</w:t>
        <w:tab/>
        <w:t>Voting proxies on behalf of the Foundation, and communicating such voting records to the Investment Committee on a timely basis.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lin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INVESTMENT OBJECTIVES</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In order to meet its needs, the investment policy of The Greater Houston Community Foundation is to emphasize total return; that is, the aggregate returns from capital appreciation and dividend and interest income.</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In support of the primary investment objective, the management of Foundation assets shall be:</w:t>
      </w:r>
    </w:p>
    <w:p>
      <w:pPr>
        <w:pStyle w:val="Normal"/>
        <w:rPr>
          <w:rFonts w:ascii="Times New Roman" w:hAnsi="Times New Roman" w:cs="Times New Roman"/>
          <w:sz w:val="21"/>
        </w:rPr>
      </w:pPr>
      <w:r>
        <w:rPr>
          <w:rFonts w:cs="Times New Roman" w:ascii="Times New Roman" w:hAnsi="Times New Roman"/>
          <w:sz w:val="21"/>
        </w:rPr>
      </w:r>
    </w:p>
    <w:p>
      <w:pPr>
        <w:pStyle w:val="firstindent"/>
        <w:numPr>
          <w:ilvl w:val="0"/>
          <w:numId w:val="7"/>
        </w:numPr>
        <w:tabs>
          <w:tab w:val="clear" w:pos="720"/>
          <w:tab w:val="left" w:pos="576" w:leader="none"/>
        </w:tabs>
        <w:ind w:hanging="360" w:start="576" w:end="0"/>
        <w:rPr>
          <w:rFonts w:ascii="Times New Roman" w:hAnsi="Times New Roman" w:cs="Times New Roman"/>
          <w:sz w:val="21"/>
        </w:rPr>
      </w:pPr>
      <w:r>
        <w:rPr>
          <w:rFonts w:cs="Times New Roman" w:ascii="Times New Roman" w:hAnsi="Times New Roman"/>
          <w:sz w:val="21"/>
        </w:rPr>
        <w:t>Preservation of Purchasing Power - To achieve annual returns in excess of 5% of the rate of inflation and administrative and investment fees in order to preserve purchasing power of Foundation assets.  Risk control is an important element in the investment of Foundation assets.</w:t>
      </w:r>
    </w:p>
    <w:p>
      <w:pPr>
        <w:pStyle w:val="firstindent"/>
        <w:rPr>
          <w:rFonts w:ascii="Times New Roman" w:hAnsi="Times New Roman" w:cs="Times New Roman"/>
          <w:sz w:val="21"/>
        </w:rPr>
      </w:pPr>
      <w:r>
        <w:rPr>
          <w:rFonts w:cs="Times New Roman" w:ascii="Times New Roman" w:hAnsi="Times New Roman"/>
          <w:sz w:val="21"/>
        </w:rPr>
      </w:r>
    </w:p>
    <w:p>
      <w:pPr>
        <w:pStyle w:val="firstindent"/>
        <w:numPr>
          <w:ilvl w:val="0"/>
          <w:numId w:val="6"/>
        </w:numPr>
        <w:tabs>
          <w:tab w:val="clear" w:pos="720"/>
          <w:tab w:val="left" w:pos="576" w:leader="none"/>
        </w:tabs>
        <w:ind w:hanging="360" w:start="576" w:end="0"/>
        <w:rPr>
          <w:rFonts w:ascii="Times New Roman" w:hAnsi="Times New Roman" w:cs="Times New Roman"/>
          <w:sz w:val="21"/>
        </w:rPr>
      </w:pPr>
      <w:r>
        <w:rPr>
          <w:rFonts w:cs="Times New Roman" w:ascii="Times New Roman" w:hAnsi="Times New Roman"/>
          <w:sz w:val="21"/>
        </w:rPr>
        <w:t>Long-Term Growth of Capital - To emphasize long-term growth of principal while avoiding excessive risk. Short-term volatility will be tolerated in as much as it is consistent with the volatility of a comparable market index.</w:t>
      </w:r>
    </w:p>
    <w:p>
      <w:pPr>
        <w:pStyle w:val="lin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INVESTMENT MANAGEMENT POLICY</w:t>
      </w:r>
    </w:p>
    <w:p>
      <w:pPr>
        <w:pStyle w:val="Normal"/>
        <w:ind w:hanging="504" w:start="720" w:end="0"/>
        <w:rPr>
          <w:rFonts w:ascii="Times New Roman" w:hAnsi="Times New Roman" w:cs="Times New Roman"/>
          <w:b/>
          <w:sz w:val="21"/>
        </w:rPr>
      </w:pPr>
      <w:r>
        <w:rPr>
          <w:rFonts w:cs="Times New Roman" w:ascii="Times New Roman" w:hAnsi="Times New Roman"/>
          <w:b/>
          <w:sz w:val="21"/>
        </w:rPr>
      </w:r>
    </w:p>
    <w:p>
      <w:pPr>
        <w:pStyle w:val="Normal"/>
        <w:ind w:hanging="504" w:start="720" w:end="0"/>
        <w:jc w:val="start"/>
        <w:rPr>
          <w:rFonts w:ascii="Times New Roman" w:hAnsi="Times New Roman" w:cs="Times New Roman"/>
          <w:sz w:val="21"/>
        </w:rPr>
      </w:pPr>
      <w:r>
        <w:rPr>
          <w:rFonts w:cs="Times New Roman" w:ascii="Times New Roman" w:hAnsi="Times New Roman"/>
          <w:sz w:val="21"/>
        </w:rPr>
        <w:t>1.</w:t>
        <w:tab/>
        <w:t>Risk Aversion - Understanding that risk is present in all types of securities and investment styles, the Investment Committee recognizes that some risk is necessary to produce long-term investment results that are sufficient to meet the Foundation's objectives.  However, the investment managers are to make reasonable efforts to control risk, and will be evaluated regularly to ensure that the risk assumed is commensurate with the given investment style and objectives.</w:t>
        <w:br/>
      </w:r>
    </w:p>
    <w:p>
      <w:pPr>
        <w:pStyle w:val="Normal"/>
        <w:numPr>
          <w:ilvl w:val="0"/>
          <w:numId w:val="5"/>
        </w:numPr>
        <w:rPr>
          <w:rFonts w:ascii="Times New Roman" w:hAnsi="Times New Roman" w:cs="Times New Roman"/>
          <w:sz w:val="21"/>
        </w:rPr>
      </w:pPr>
      <w:r>
        <w:rPr>
          <w:rFonts w:cs="Times New Roman" w:ascii="Times New Roman" w:hAnsi="Times New Roman"/>
          <w:sz w:val="21"/>
        </w:rPr>
        <w:t>Adherence to Investment Discipline - Investment managers are expected to adhere to the investment management styles for which they were hired.  Managers will be evaluated regularly for adherence to investment discipline.</w:t>
      </w:r>
    </w:p>
    <w:p>
      <w:pPr>
        <w:pStyle w:val="lin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INVESTMENT GUIDELINES</w:t>
      </w:r>
    </w:p>
    <w:p>
      <w:pPr>
        <w:pStyle w:val="Footer"/>
        <w:tabs>
          <w:tab w:val="clear" w:pos="4320"/>
          <w:tab w:val="clear" w:pos="8640"/>
        </w:tabs>
        <w:rPr>
          <w:rFonts w:ascii="Times New Roman" w:hAnsi="Times New Roman" w:cs="Times New Roman"/>
          <w:b/>
          <w:sz w:val="21"/>
        </w:rPr>
      </w:pPr>
      <w:r>
        <w:rPr>
          <w:rFonts w:cs="Times New Roman" w:ascii="Times New Roman" w:hAnsi="Times New Roman"/>
          <w:b/>
          <w:sz w:val="21"/>
        </w:rPr>
      </w:r>
    </w:p>
    <w:p>
      <w:pPr>
        <w:pStyle w:val="Footer"/>
        <w:tabs>
          <w:tab w:val="clear" w:pos="4320"/>
          <w:tab w:val="clear" w:pos="8640"/>
        </w:tabs>
        <w:rPr>
          <w:rFonts w:ascii="Times New Roman" w:hAnsi="Times New Roman" w:cs="Times New Roman"/>
          <w:sz w:val="21"/>
        </w:rPr>
      </w:pPr>
      <w:r>
        <w:rPr>
          <w:rFonts w:cs="Times New Roman" w:ascii="Times New Roman" w:hAnsi="Times New Roman"/>
          <w:sz w:val="21"/>
        </w:rPr>
        <w:t xml:space="preserve">Managers should be diversified sufficiently to avoid risk, but not so much as to hamper incremental returns. </w:t>
      </w:r>
    </w:p>
    <w:p>
      <w:pPr>
        <w:pStyle w:val="Footer"/>
        <w:tabs>
          <w:tab w:val="clear" w:pos="4320"/>
          <w:tab w:val="clear" w:pos="8640"/>
        </w:tabs>
        <w:rPr>
          <w:rFonts w:ascii="Times New Roman" w:hAnsi="Times New Roman" w:cs="Times New Roman"/>
          <w:sz w:val="21"/>
        </w:rPr>
      </w:pPr>
      <w:r>
        <w:rPr>
          <w:rFonts w:cs="Times New Roman" w:ascii="Times New Roman" w:hAnsi="Times New Roman"/>
          <w:sz w:val="21"/>
        </w:rPr>
      </w:r>
    </w:p>
    <w:p>
      <w:pPr>
        <w:pStyle w:val="Heading3"/>
        <w:ind w:hanging="0" w:start="0"/>
        <w:rPr>
          <w:rFonts w:ascii="Times New Roman" w:hAnsi="Times New Roman" w:cs="Times New Roman"/>
          <w:b w:val="false"/>
          <w:sz w:val="21"/>
        </w:rPr>
      </w:pPr>
      <w:r>
        <w:rPr>
          <w:rFonts w:cs="Times New Roman" w:ascii="Times New Roman" w:hAnsi="Times New Roman"/>
          <w:b w:val="false"/>
          <w:sz w:val="21"/>
        </w:rPr>
        <w:t>Allowable Assets for a single manager based on investment objective:</w:t>
      </w:r>
    </w:p>
    <w:p>
      <w:pPr>
        <w:pStyle w:val="Normal"/>
        <w:numPr>
          <w:ilvl w:val="0"/>
          <w:numId w:val="8"/>
        </w:numPr>
        <w:rPr>
          <w:rFonts w:ascii="Times New Roman" w:hAnsi="Times New Roman" w:cs="Times New Roman"/>
          <w:sz w:val="21"/>
        </w:rPr>
      </w:pPr>
      <w:r>
        <w:rPr>
          <w:rFonts w:cs="Times New Roman" w:ascii="Times New Roman" w:hAnsi="Times New Roman"/>
          <w:sz w:val="21"/>
        </w:rPr>
        <w:t>Cash Equivalents</w:t>
      </w:r>
    </w:p>
    <w:p>
      <w:pPr>
        <w:pStyle w:val="Normal"/>
        <w:numPr>
          <w:ilvl w:val="0"/>
          <w:numId w:val="10"/>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Treasury Bills</w:t>
      </w:r>
    </w:p>
    <w:p>
      <w:pPr>
        <w:pStyle w:val="Normal"/>
        <w:numPr>
          <w:ilvl w:val="0"/>
          <w:numId w:val="10"/>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Money Market Funds</w:t>
      </w:r>
    </w:p>
    <w:p>
      <w:pPr>
        <w:pStyle w:val="Normal"/>
        <w:numPr>
          <w:ilvl w:val="0"/>
          <w:numId w:val="10"/>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Commercial Paper</w:t>
      </w:r>
    </w:p>
    <w:p>
      <w:pPr>
        <w:pStyle w:val="Normal"/>
        <w:ind w:hanging="360" w:start="360" w:end="0"/>
        <w:rPr>
          <w:rFonts w:ascii="Times New Roman" w:hAnsi="Times New Roman" w:cs="Times New Roman"/>
          <w:sz w:val="21"/>
        </w:rPr>
      </w:pPr>
      <w:r>
        <w:rPr>
          <w:rFonts w:cs="Times New Roman" w:ascii="Times New Roman" w:hAnsi="Times New Roman"/>
          <w:sz w:val="21"/>
        </w:rPr>
      </w:r>
    </w:p>
    <w:p>
      <w:pPr>
        <w:pStyle w:val="Normal"/>
        <w:numPr>
          <w:ilvl w:val="0"/>
          <w:numId w:val="9"/>
        </w:numPr>
        <w:rPr>
          <w:rFonts w:ascii="Times New Roman" w:hAnsi="Times New Roman" w:cs="Times New Roman"/>
          <w:sz w:val="21"/>
        </w:rPr>
      </w:pPr>
      <w:r>
        <w:rPr>
          <w:rFonts w:cs="Times New Roman" w:ascii="Times New Roman" w:hAnsi="Times New Roman"/>
          <w:sz w:val="21"/>
        </w:rPr>
        <w:t>Fixed Income Securities</w:t>
      </w:r>
    </w:p>
    <w:p>
      <w:pPr>
        <w:pStyle w:val="Normal"/>
        <w:numPr>
          <w:ilvl w:val="0"/>
          <w:numId w:val="4"/>
        </w:numPr>
        <w:tabs>
          <w:tab w:val="clear" w:pos="720"/>
          <w:tab w:val="left" w:pos="1440" w:leader="none"/>
        </w:tabs>
        <w:ind w:hanging="360" w:start="1440" w:end="0"/>
        <w:rPr>
          <w:rFonts w:ascii="Times New Roman" w:hAnsi="Times New Roman" w:cs="Times New Roman"/>
          <w:sz w:val="21"/>
          <w:u w:val="single"/>
        </w:rPr>
      </w:pPr>
      <w:r>
        <w:rPr>
          <w:rFonts w:cs="Times New Roman" w:ascii="Times New Roman" w:hAnsi="Times New Roman"/>
          <w:sz w:val="21"/>
        </w:rPr>
        <w:t>U.S. Government and Agency Securities</w:t>
      </w:r>
    </w:p>
    <w:p>
      <w:pPr>
        <w:pStyle w:val="Normal"/>
        <w:numPr>
          <w:ilvl w:val="0"/>
          <w:numId w:val="4"/>
        </w:numPr>
        <w:tabs>
          <w:tab w:val="clear" w:pos="720"/>
          <w:tab w:val="left" w:pos="1440" w:leader="none"/>
        </w:tabs>
        <w:ind w:hanging="360" w:start="1440" w:end="0"/>
        <w:rPr>
          <w:rFonts w:ascii="Times New Roman" w:hAnsi="Times New Roman" w:cs="Times New Roman"/>
          <w:sz w:val="21"/>
          <w:u w:val="single"/>
        </w:rPr>
      </w:pPr>
      <w:r>
        <w:rPr>
          <w:rFonts w:cs="Times New Roman" w:ascii="Times New Roman" w:hAnsi="Times New Roman"/>
          <w:sz w:val="21"/>
        </w:rPr>
        <w:t>Corporate Notes and Bonds</w:t>
        <w:tab/>
        <w:tab/>
        <w:tab/>
      </w:r>
    </w:p>
    <w:p>
      <w:pPr>
        <w:pStyle w:val="Normal"/>
        <w:numPr>
          <w:ilvl w:val="0"/>
          <w:numId w:val="4"/>
        </w:numPr>
        <w:tabs>
          <w:tab w:val="clear" w:pos="720"/>
          <w:tab w:val="left" w:pos="1440" w:leader="none"/>
        </w:tabs>
        <w:ind w:hanging="360" w:start="1440" w:end="0"/>
        <w:jc w:val="start"/>
        <w:rPr>
          <w:rFonts w:ascii="Times New Roman" w:hAnsi="Times New Roman" w:cs="Times New Roman"/>
          <w:sz w:val="21"/>
        </w:rPr>
      </w:pPr>
      <w:r>
        <w:rPr>
          <w:rFonts w:cs="Times New Roman" w:ascii="Times New Roman" w:hAnsi="Times New Roman"/>
          <w:sz w:val="21"/>
        </w:rPr>
        <w:t>Mortgage Backed Bonds</w:t>
      </w:r>
    </w:p>
    <w:p>
      <w:pPr>
        <w:pStyle w:val="Normal"/>
        <w:numPr>
          <w:ilvl w:val="0"/>
          <w:numId w:val="4"/>
        </w:numPr>
        <w:tabs>
          <w:tab w:val="clear" w:pos="720"/>
          <w:tab w:val="left" w:pos="1440" w:leader="none"/>
        </w:tabs>
        <w:ind w:hanging="360" w:start="1440" w:end="0"/>
        <w:jc w:val="start"/>
        <w:rPr>
          <w:rFonts w:ascii="Times New Roman" w:hAnsi="Times New Roman" w:cs="Times New Roman"/>
          <w:sz w:val="21"/>
        </w:rPr>
      </w:pPr>
      <w:r>
        <w:rPr>
          <w:rFonts w:cs="Times New Roman" w:ascii="Times New Roman" w:hAnsi="Times New Roman"/>
          <w:sz w:val="21"/>
        </w:rPr>
        <w:t>Foreign denominated dollar based bonds</w:t>
        <w:br/>
        <w:tab/>
        <w:tab/>
        <w:tab/>
        <w:tab/>
        <w:tab/>
        <w:tab/>
      </w:r>
    </w:p>
    <w:p>
      <w:pPr>
        <w:pStyle w:val="Normal"/>
        <w:numPr>
          <w:ilvl w:val="0"/>
          <w:numId w:val="9"/>
        </w:numPr>
        <w:rPr>
          <w:rFonts w:ascii="Times New Roman" w:hAnsi="Times New Roman" w:cs="Times New Roman"/>
          <w:sz w:val="21"/>
        </w:rPr>
      </w:pPr>
      <w:r>
        <w:rPr>
          <w:rFonts w:cs="Times New Roman" w:ascii="Times New Roman" w:hAnsi="Times New Roman"/>
          <w:sz w:val="21"/>
        </w:rPr>
        <w:t>Equity Securities</w:t>
      </w:r>
    </w:p>
    <w:p>
      <w:pPr>
        <w:pStyle w:val="Normal"/>
        <w:numPr>
          <w:ilvl w:val="0"/>
          <w:numId w:val="11"/>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Common Stocks</w:t>
      </w:r>
    </w:p>
    <w:p>
      <w:pPr>
        <w:pStyle w:val="Normal"/>
        <w:numPr>
          <w:ilvl w:val="0"/>
          <w:numId w:val="11"/>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Convertible Notes and Bonds</w:t>
      </w:r>
    </w:p>
    <w:p>
      <w:pPr>
        <w:pStyle w:val="Normal"/>
        <w:numPr>
          <w:ilvl w:val="0"/>
          <w:numId w:val="11"/>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Convertible Preferred Stocks</w:t>
      </w:r>
    </w:p>
    <w:p>
      <w:pPr>
        <w:pStyle w:val="Normal"/>
        <w:numPr>
          <w:ilvl w:val="0"/>
          <w:numId w:val="11"/>
        </w:numPr>
        <w:tabs>
          <w:tab w:val="clear" w:pos="720"/>
          <w:tab w:val="left" w:pos="1440" w:leader="none"/>
        </w:tabs>
        <w:ind w:hanging="360" w:start="1440" w:end="0"/>
        <w:rPr>
          <w:rFonts w:ascii="Times New Roman" w:hAnsi="Times New Roman" w:cs="Times New Roman"/>
          <w:sz w:val="21"/>
        </w:rPr>
      </w:pPr>
      <w:r>
        <w:rPr>
          <w:rFonts w:cs="Times New Roman" w:ascii="Times New Roman" w:hAnsi="Times New Roman"/>
          <w:sz w:val="21"/>
        </w:rPr>
        <w:t>American Depository Receipts (ADRs) of Non-U.S. Companies</w:t>
      </w:r>
    </w:p>
    <w:p>
      <w:pPr>
        <w:pStyle w:val="Normal"/>
        <w:numPr>
          <w:ilvl w:val="0"/>
          <w:numId w:val="11"/>
        </w:numPr>
        <w:tabs>
          <w:tab w:val="clear" w:pos="720"/>
          <w:tab w:val="left" w:pos="1440" w:leader="none"/>
        </w:tabs>
        <w:ind w:hanging="360" w:start="1440" w:end="0"/>
        <w:jc w:val="start"/>
        <w:rPr>
          <w:rFonts w:ascii="Times New Roman" w:hAnsi="Times New Roman" w:cs="Times New Roman"/>
          <w:sz w:val="21"/>
        </w:rPr>
      </w:pPr>
      <w:r>
        <w:rPr>
          <w:rFonts w:cs="Times New Roman" w:ascii="Times New Roman" w:hAnsi="Times New Roman"/>
          <w:sz w:val="21"/>
        </w:rPr>
        <w:t>Stocks of Non-U.S. Companies (Ordinary Shares)</w:t>
        <w:br/>
      </w:r>
    </w:p>
    <w:p>
      <w:pPr>
        <w:pStyle w:val="Normal"/>
        <w:rPr>
          <w:rFonts w:ascii="Times New Roman" w:hAnsi="Times New Roman" w:cs="Times New Roman"/>
          <w:b/>
          <w:sz w:val="21"/>
        </w:rPr>
      </w:pPr>
      <w:r>
        <w:rPr>
          <w:rFonts w:cs="Times New Roman" w:ascii="Times New Roman" w:hAnsi="Times New Roman"/>
          <w:b/>
          <w:sz w:val="21"/>
        </w:rPr>
        <w:t>Prohibited Assets</w:t>
      </w:r>
    </w:p>
    <w:p>
      <w:pPr>
        <w:pStyle w:val="Normal"/>
        <w:rPr>
          <w:rFonts w:ascii="Times New Roman" w:hAnsi="Times New Roman" w:cs="Times New Roman"/>
          <w:b/>
          <w:sz w:val="21"/>
        </w:rPr>
      </w:pPr>
      <w:r>
        <w:rPr>
          <w:rFonts w:cs="Times New Roman" w:ascii="Times New Roman" w:hAnsi="Times New Roman"/>
          <w:b/>
          <w:sz w:val="21"/>
        </w:rPr>
      </w:r>
    </w:p>
    <w:p>
      <w:pPr>
        <w:pStyle w:val="Normal"/>
        <w:numPr>
          <w:ilvl w:val="0"/>
          <w:numId w:val="12"/>
        </w:numPr>
        <w:rPr>
          <w:rFonts w:ascii="Times New Roman" w:hAnsi="Times New Roman" w:cs="Times New Roman"/>
          <w:sz w:val="21"/>
        </w:rPr>
      </w:pPr>
      <w:r>
        <w:rPr>
          <w:rFonts w:cs="Times New Roman" w:ascii="Times New Roman" w:hAnsi="Times New Roman"/>
          <w:sz w:val="21"/>
        </w:rPr>
        <w:t>Commodities and Futures Contracts</w:t>
      </w:r>
    </w:p>
    <w:p>
      <w:pPr>
        <w:pStyle w:val="Normal"/>
        <w:numPr>
          <w:ilvl w:val="0"/>
          <w:numId w:val="12"/>
        </w:numPr>
        <w:rPr>
          <w:rFonts w:ascii="Times New Roman" w:hAnsi="Times New Roman" w:cs="Times New Roman"/>
          <w:sz w:val="21"/>
        </w:rPr>
      </w:pPr>
      <w:r>
        <w:rPr>
          <w:rFonts w:cs="Times New Roman" w:ascii="Times New Roman" w:hAnsi="Times New Roman"/>
          <w:sz w:val="21"/>
        </w:rPr>
        <w:t>Options</w:t>
      </w:r>
    </w:p>
    <w:p>
      <w:pPr>
        <w:pStyle w:val="Normal"/>
        <w:numPr>
          <w:ilvl w:val="0"/>
          <w:numId w:val="12"/>
        </w:numPr>
        <w:rPr>
          <w:rFonts w:ascii="Times New Roman" w:hAnsi="Times New Roman" w:cs="Times New Roman"/>
          <w:sz w:val="21"/>
        </w:rPr>
      </w:pPr>
      <w:r>
        <w:rPr>
          <w:rFonts w:cs="Times New Roman" w:ascii="Times New Roman" w:hAnsi="Times New Roman"/>
          <w:sz w:val="21"/>
        </w:rPr>
        <w:t>Interest-Only (IO), Principal-Only (PO), and Residual Tranche CMO's</w:t>
      </w:r>
    </w:p>
    <w:p>
      <w:pPr>
        <w:pStyle w:val="Normal"/>
        <w:rPr>
          <w:rFonts w:ascii="Times New Roman" w:hAnsi="Times New Roman" w:cs="Times New Roman"/>
          <w:b/>
          <w:sz w:val="21"/>
        </w:rPr>
      </w:pPr>
      <w:r>
        <w:rPr>
          <w:rFonts w:cs="Times New Roman" w:ascii="Times New Roman" w:hAnsi="Times New Roman"/>
          <w:b/>
          <w:sz w:val="21"/>
        </w:rPr>
      </w:r>
    </w:p>
    <w:p>
      <w:pPr>
        <w:pStyle w:val="Normal"/>
        <w:ind w:hanging="360" w:start="360" w:end="0"/>
        <w:rPr>
          <w:rFonts w:ascii="Times New Roman" w:hAnsi="Times New Roman" w:cs="Times New Roman"/>
          <w:b/>
          <w:sz w:val="21"/>
        </w:rPr>
      </w:pPr>
      <w:r>
        <w:rPr>
          <w:rFonts w:cs="Times New Roman" w:ascii="Times New Roman" w:hAnsi="Times New Roman"/>
          <w:b/>
          <w:sz w:val="21"/>
        </w:rPr>
        <w:t>Prohibited Transactions</w:t>
      </w:r>
    </w:p>
    <w:p>
      <w:pPr>
        <w:pStyle w:val="Normal"/>
        <w:rPr>
          <w:rFonts w:ascii="Times New Roman" w:hAnsi="Times New Roman" w:cs="Times New Roman"/>
          <w:b/>
          <w:sz w:val="21"/>
        </w:rPr>
      </w:pPr>
      <w:r>
        <w:rPr>
          <w:rFonts w:cs="Times New Roman" w:ascii="Times New Roman" w:hAnsi="Times New Roman"/>
          <w:b/>
          <w:sz w:val="21"/>
        </w:rPr>
      </w:r>
    </w:p>
    <w:p>
      <w:pPr>
        <w:pStyle w:val="Normal"/>
        <w:ind w:hanging="360" w:start="720" w:end="0"/>
        <w:rPr>
          <w:rFonts w:ascii="Times New Roman" w:hAnsi="Times New Roman" w:cs="Times New Roman"/>
          <w:sz w:val="21"/>
        </w:rPr>
      </w:pPr>
      <w:r>
        <w:rPr>
          <w:rFonts w:cs="Times New Roman" w:ascii="Times New Roman" w:hAnsi="Times New Roman"/>
          <w:sz w:val="21"/>
        </w:rPr>
        <w:t>1.</w:t>
        <w:tab/>
        <w:t>Short Selling</w:t>
      </w:r>
    </w:p>
    <w:p>
      <w:pPr>
        <w:pStyle w:val="Normal"/>
        <w:ind w:hanging="360" w:start="720" w:end="0"/>
        <w:rPr>
          <w:rFonts w:ascii="Times New Roman" w:hAnsi="Times New Roman" w:cs="Times New Roman"/>
          <w:sz w:val="21"/>
        </w:rPr>
      </w:pPr>
      <w:r>
        <w:rPr>
          <w:rFonts w:cs="Times New Roman" w:ascii="Times New Roman" w:hAnsi="Times New Roman"/>
          <w:sz w:val="21"/>
        </w:rPr>
        <w:t>2.</w:t>
        <w:tab/>
        <w:t>Margin Transactions</w:t>
      </w:r>
    </w:p>
    <w:p>
      <w:pPr>
        <w:pStyle w:val="Normal"/>
        <w:ind w:hanging="360" w:start="360" w:end="0"/>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Asset Allocation Guidelines</w:t>
      </w:r>
    </w:p>
    <w:p>
      <w:pPr>
        <w:pStyle w:val="Normal"/>
        <w:ind w:hanging="360" w:start="360" w:end="0"/>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Investment management of the assets of The Greater Houston Community Foundation shall be in accordance with the following asset allocation guidelines (at market values):</w:t>
      </w:r>
    </w:p>
    <w:p>
      <w:pPr>
        <w:pStyle w:val="Normal"/>
        <w:rPr>
          <w:rFonts w:ascii="Times New Roman" w:hAnsi="Times New Roman" w:cs="Times New Roman"/>
          <w:sz w:val="21"/>
        </w:rPr>
      </w:pPr>
      <w:r>
        <w:rPr>
          <w:rFonts w:cs="Times New Roman" w:ascii="Times New Roman" w:hAnsi="Times New Roman"/>
          <w:sz w:val="21"/>
        </w:rPr>
      </w:r>
    </w:p>
    <w:tbl>
      <w:tblPr>
        <w:tblW w:w="5590" w:type="dxa"/>
        <w:jc w:val="start"/>
        <w:tblInd w:w="1440" w:type="dxa"/>
        <w:tblLayout w:type="fixed"/>
        <w:tblCellMar>
          <w:top w:w="0" w:type="dxa"/>
          <w:start w:w="108" w:type="dxa"/>
          <w:bottom w:w="0" w:type="dxa"/>
          <w:end w:w="108" w:type="dxa"/>
        </w:tblCellMar>
      </w:tblPr>
      <w:tblGrid>
        <w:gridCol w:w="2620"/>
        <w:gridCol w:w="1440"/>
        <w:gridCol w:w="1530"/>
      </w:tblGrid>
      <w:tr>
        <w:trPr/>
        <w:tc>
          <w:tcPr>
            <w:tcW w:w="2620" w:type="dxa"/>
            <w:tcBorders/>
          </w:tcPr>
          <w:p>
            <w:pPr>
              <w:pStyle w:val="Normal"/>
              <w:ind w:hanging="504" w:start="504" w:end="0"/>
              <w:rPr>
                <w:rFonts w:ascii="Times New Roman" w:hAnsi="Times New Roman" w:cs="Times New Roman"/>
                <w:b/>
                <w:sz w:val="21"/>
                <w:u w:val="single"/>
              </w:rPr>
            </w:pPr>
            <w:r>
              <w:rPr>
                <w:rFonts w:cs="Times New Roman" w:ascii="Times New Roman" w:hAnsi="Times New Roman"/>
                <w:b/>
                <w:sz w:val="21"/>
                <w:u w:val="single"/>
              </w:rPr>
              <w:t>Asset Class</w:t>
            </w:r>
          </w:p>
        </w:tc>
        <w:tc>
          <w:tcPr>
            <w:tcW w:w="1440" w:type="dxa"/>
            <w:tcBorders/>
          </w:tcPr>
          <w:p>
            <w:pPr>
              <w:pStyle w:val="Normal"/>
              <w:ind w:hanging="504" w:start="504" w:end="0"/>
              <w:jc w:val="center"/>
              <w:rPr>
                <w:rFonts w:ascii="Times New Roman" w:hAnsi="Times New Roman" w:cs="Times New Roman"/>
                <w:b/>
                <w:sz w:val="21"/>
                <w:u w:val="single"/>
              </w:rPr>
            </w:pPr>
            <w:r>
              <w:rPr>
                <w:rFonts w:cs="Times New Roman" w:ascii="Times New Roman" w:hAnsi="Times New Roman"/>
                <w:b/>
                <w:sz w:val="21"/>
                <w:u w:val="single"/>
              </w:rPr>
              <w:t>Minimum</w:t>
            </w:r>
          </w:p>
        </w:tc>
        <w:tc>
          <w:tcPr>
            <w:tcW w:w="1530" w:type="dxa"/>
            <w:tcBorders/>
          </w:tcPr>
          <w:p>
            <w:pPr>
              <w:pStyle w:val="Normal"/>
              <w:ind w:hanging="504" w:start="504" w:end="0"/>
              <w:jc w:val="end"/>
              <w:rPr>
                <w:rFonts w:ascii="Times New Roman" w:hAnsi="Times New Roman" w:cs="Times New Roman"/>
                <w:b/>
                <w:sz w:val="21"/>
                <w:u w:val="single"/>
              </w:rPr>
            </w:pPr>
            <w:r>
              <w:rPr>
                <w:rFonts w:cs="Times New Roman" w:ascii="Times New Roman" w:hAnsi="Times New Roman"/>
                <w:b/>
                <w:sz w:val="21"/>
                <w:u w:val="single"/>
              </w:rPr>
              <w:t>Maximum</w:t>
            </w:r>
          </w:p>
        </w:tc>
      </w:tr>
      <w:tr>
        <w:trPr/>
        <w:tc>
          <w:tcPr>
            <w:tcW w:w="262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Equities*</w:t>
            </w:r>
          </w:p>
        </w:tc>
        <w:tc>
          <w:tcPr>
            <w:tcW w:w="144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30% +/-5%</w:t>
            </w:r>
          </w:p>
        </w:tc>
        <w:tc>
          <w:tcPr>
            <w:tcW w:w="1530" w:type="dxa"/>
            <w:tcBorders/>
          </w:tcPr>
          <w:p>
            <w:pPr>
              <w:pStyle w:val="Normal"/>
              <w:ind w:hanging="504" w:start="504" w:end="0"/>
              <w:jc w:val="end"/>
              <w:rPr>
                <w:rFonts w:ascii="Times New Roman" w:hAnsi="Times New Roman" w:cs="Times New Roman"/>
                <w:sz w:val="21"/>
              </w:rPr>
            </w:pPr>
            <w:r>
              <w:rPr>
                <w:rFonts w:cs="Times New Roman" w:ascii="Times New Roman" w:hAnsi="Times New Roman"/>
                <w:sz w:val="21"/>
              </w:rPr>
              <w:t>75% +/-5%</w:t>
            </w:r>
          </w:p>
        </w:tc>
      </w:tr>
      <w:tr>
        <w:trPr/>
        <w:tc>
          <w:tcPr>
            <w:tcW w:w="262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Fixed Income</w:t>
            </w:r>
          </w:p>
        </w:tc>
        <w:tc>
          <w:tcPr>
            <w:tcW w:w="144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20% +/-5%</w:t>
            </w:r>
          </w:p>
        </w:tc>
        <w:tc>
          <w:tcPr>
            <w:tcW w:w="1530" w:type="dxa"/>
            <w:tcBorders/>
          </w:tcPr>
          <w:p>
            <w:pPr>
              <w:pStyle w:val="Normal"/>
              <w:ind w:hanging="504" w:start="504" w:end="0"/>
              <w:jc w:val="end"/>
              <w:rPr>
                <w:rFonts w:ascii="Times New Roman" w:hAnsi="Times New Roman" w:cs="Times New Roman"/>
                <w:sz w:val="21"/>
              </w:rPr>
            </w:pPr>
            <w:r>
              <w:rPr>
                <w:rFonts w:cs="Times New Roman" w:ascii="Times New Roman" w:hAnsi="Times New Roman"/>
                <w:sz w:val="21"/>
              </w:rPr>
              <w:t>40% +/-5%</w:t>
            </w:r>
          </w:p>
        </w:tc>
      </w:tr>
      <w:tr>
        <w:trPr/>
        <w:tc>
          <w:tcPr>
            <w:tcW w:w="262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Cash and Equivalents</w:t>
            </w:r>
          </w:p>
        </w:tc>
        <w:tc>
          <w:tcPr>
            <w:tcW w:w="144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0% +5%</w:t>
            </w:r>
          </w:p>
        </w:tc>
        <w:tc>
          <w:tcPr>
            <w:tcW w:w="1530" w:type="dxa"/>
            <w:tcBorders/>
          </w:tcPr>
          <w:p>
            <w:pPr>
              <w:pStyle w:val="Normal"/>
              <w:ind w:hanging="504" w:start="504" w:end="0"/>
              <w:jc w:val="end"/>
              <w:rPr>
                <w:rFonts w:ascii="Times New Roman" w:hAnsi="Times New Roman" w:cs="Times New Roman"/>
                <w:sz w:val="21"/>
              </w:rPr>
            </w:pPr>
            <w:r>
              <w:rPr>
                <w:rFonts w:cs="Times New Roman" w:ascii="Times New Roman" w:hAnsi="Times New Roman"/>
                <w:sz w:val="21"/>
              </w:rPr>
              <w:t>10% +/-5%</w:t>
            </w:r>
          </w:p>
        </w:tc>
      </w:tr>
    </w:tbl>
    <w:p>
      <w:pPr>
        <w:pStyle w:val="Normal"/>
        <w:ind w:hanging="504" w:start="504" w:end="0"/>
        <w:jc w:val="start"/>
        <w:rPr>
          <w:rFonts w:ascii="Times New Roman" w:hAnsi="Times New Roman" w:cs="Times New Roman"/>
          <w:sz w:val="21"/>
        </w:rPr>
      </w:pPr>
      <w:r>
        <w:rPr>
          <w:rFonts w:cs="Times New Roman" w:ascii="Times New Roman" w:hAnsi="Times New Roman"/>
          <w:sz w:val="21"/>
        </w:rPr>
      </w:r>
    </w:p>
    <w:p>
      <w:pPr>
        <w:pStyle w:val="Normal"/>
        <w:ind w:hanging="504" w:start="504" w:end="0"/>
        <w:jc w:val="start"/>
        <w:rPr>
          <w:rFonts w:ascii="Times New Roman" w:hAnsi="Times New Roman" w:cs="Times New Roman"/>
          <w:sz w:val="21"/>
        </w:rPr>
      </w:pPr>
      <w:r>
        <w:rPr>
          <w:rFonts w:cs="Times New Roman" w:ascii="Times New Roman" w:hAnsi="Times New Roman"/>
          <w:sz w:val="21"/>
        </w:rPr>
        <w:tab/>
        <w:tab/>
        <w:tab/>
        <w:t>Target is 70% Equity and 30% Fixed and Cash.</w:t>
      </w:r>
    </w:p>
    <w:p>
      <w:pPr>
        <w:pStyle w:val="Normal"/>
        <w:ind w:firstLine="216" w:start="1224" w:end="0"/>
        <w:jc w:val="start"/>
        <w:rPr>
          <w:rFonts w:ascii="Times New Roman" w:hAnsi="Times New Roman" w:cs="Times New Roman"/>
          <w:sz w:val="21"/>
        </w:rPr>
      </w:pPr>
      <w:r>
        <w:rPr>
          <w:rFonts w:cs="Times New Roman" w:ascii="Times New Roman" w:hAnsi="Times New Roman"/>
          <w:sz w:val="21"/>
        </w:rPr>
        <w:t>*Convertible Bonds are treated as equities in compliance with AIMR performance standards.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Guidelines for Fixed Income Investments and Cash Equivalents</w:t>
      </w:r>
    </w:p>
    <w:p>
      <w:pPr>
        <w:pStyle w:val="Normal"/>
        <w:rPr>
          <w:rFonts w:ascii="Times New Roman" w:hAnsi="Times New Roman" w:cs="Times New Roman"/>
          <w:b/>
          <w:sz w:val="21"/>
        </w:rPr>
      </w:pPr>
      <w:r>
        <w:rPr>
          <w:rFonts w:cs="Times New Roman" w:ascii="Times New Roman" w:hAnsi="Times New Roman"/>
          <w:b/>
          <w:sz w:val="21"/>
        </w:rPr>
      </w:r>
    </w:p>
    <w:p>
      <w:pPr>
        <w:pStyle w:val="Normal"/>
        <w:numPr>
          <w:ilvl w:val="0"/>
          <w:numId w:val="13"/>
        </w:numPr>
        <w:rPr>
          <w:rFonts w:ascii="Times New Roman" w:hAnsi="Times New Roman" w:cs="Times New Roman"/>
          <w:sz w:val="21"/>
        </w:rPr>
      </w:pPr>
      <w:r>
        <w:rPr>
          <w:rFonts w:cs="Times New Roman" w:ascii="Times New Roman" w:hAnsi="Times New Roman"/>
          <w:sz w:val="21"/>
        </w:rPr>
        <w:t>Foundation assets may be invested only in investment grade bonds with no more than 30% of the fixed income assets rated BAA/BBB.</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BodyTextIndent"/>
        <w:jc w:val="start"/>
        <w:rPr>
          <w:rFonts w:ascii="Times New Roman" w:hAnsi="Times New Roman" w:cs="Times New Roman"/>
          <w:sz w:val="21"/>
        </w:rPr>
      </w:pPr>
      <w:r>
        <w:rPr>
          <w:rFonts w:cs="Times New Roman" w:ascii="Times New Roman" w:hAnsi="Times New Roman"/>
          <w:sz w:val="21"/>
        </w:rPr>
        <w:t>3.</w:t>
        <w:tab/>
        <w:t>Foundation assets may be invested only in commercial paper rated A1/P1 (or equivalent) or higher.</w:t>
      </w:r>
    </w:p>
    <w:p>
      <w:pPr>
        <w:pStyle w:val="Normal"/>
        <w:ind w:hanging="504" w:start="504"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4.</w:t>
        <w:tab/>
        <w:t>Fixed income maturity restrictions are as follows:</w:t>
      </w:r>
    </w:p>
    <w:p>
      <w:pPr>
        <w:pStyle w:val="Normal"/>
        <w:ind w:hanging="504" w:start="1440" w:end="0"/>
        <w:rPr>
          <w:rFonts w:ascii="Times New Roman" w:hAnsi="Times New Roman" w:cs="Times New Roman"/>
          <w:sz w:val="21"/>
        </w:rPr>
      </w:pPr>
      <w:r>
        <w:rPr>
          <w:rFonts w:cs="Times New Roman" w:ascii="Times New Roman" w:hAnsi="Times New Roman"/>
          <w:sz w:val="21"/>
        </w:rPr>
        <w:t>Weighted average portfolio duration may not exceed 7 years.  Duration will be calculated</w:t>
      </w:r>
    </w:p>
    <w:p>
      <w:pPr>
        <w:pStyle w:val="Normal"/>
        <w:ind w:hanging="504" w:start="1440" w:end="0"/>
        <w:rPr>
          <w:rFonts w:ascii="Times New Roman" w:hAnsi="Times New Roman" w:cs="Times New Roman"/>
          <w:sz w:val="21"/>
        </w:rPr>
      </w:pPr>
      <w:r>
        <w:rPr>
          <w:rFonts w:cs="Times New Roman" w:ascii="Times New Roman" w:hAnsi="Times New Roman"/>
          <w:sz w:val="21"/>
        </w:rPr>
        <w:t>excluding convertible securities.</w:t>
      </w:r>
    </w:p>
    <w:p>
      <w:pPr>
        <w:pStyle w:val="Normal"/>
        <w:pBdr>
          <w:bottom w:val="single" w:sz="4" w:space="1" w:color="000000"/>
        </w:pBdr>
        <w:rPr>
          <w:rFonts w:ascii="Times New Roman" w:hAnsi="Times New Roman" w:cs="Times New Roman"/>
          <w:sz w:val="21"/>
        </w:rPr>
      </w:pPr>
      <w:r>
        <w:rPr>
          <w:rFonts w:cs="Times New Roman" w:ascii="Times New Roman" w:hAnsi="Times New Roman"/>
          <w:sz w:val="21"/>
        </w:rPr>
      </w:r>
    </w:p>
    <w:p>
      <w:pPr>
        <w:pStyle w:val="Normal"/>
        <w:pBdr>
          <w:bottom w:val="single" w:sz="4" w:space="1" w:color="000000"/>
        </w:pBdr>
        <w:rPr>
          <w:rFonts w:ascii="Times New Roman" w:hAnsi="Times New Roman" w:cs="Times New Roman"/>
          <w:b/>
          <w:sz w:val="21"/>
        </w:rPr>
      </w:pPr>
      <w:r>
        <w:rPr>
          <w:rFonts w:cs="Times New Roman" w:ascii="Times New Roman" w:hAnsi="Times New Roman"/>
          <w:b/>
          <w:sz w:val="21"/>
        </w:rPr>
        <w:t>Guidelines for Convertible Securities</w:t>
      </w:r>
    </w:p>
    <w:p>
      <w:pPr>
        <w:pStyle w:val="Normal"/>
        <w:pBdr>
          <w:bottom w:val="single" w:sz="4" w:space="1" w:color="000000"/>
        </w:pBdr>
        <w:rPr>
          <w:rFonts w:ascii="Times New Roman" w:hAnsi="Times New Roman" w:cs="Times New Roman"/>
          <w:b/>
          <w:sz w:val="21"/>
        </w:rPr>
      </w:pPr>
      <w:r>
        <w:rPr>
          <w:rFonts w:cs="Times New Roman" w:ascii="Times New Roman" w:hAnsi="Times New Roman"/>
          <w:b/>
          <w:sz w:val="21"/>
        </w:rPr>
      </w:r>
    </w:p>
    <w:p>
      <w:pPr>
        <w:pStyle w:val="Normal"/>
        <w:numPr>
          <w:ilvl w:val="0"/>
          <w:numId w:val="2"/>
        </w:numPr>
        <w:pBdr>
          <w:bottom w:val="single" w:sz="4" w:space="1" w:color="000000"/>
        </w:pBdr>
        <w:rPr>
          <w:rFonts w:ascii="Times New Roman" w:hAnsi="Times New Roman" w:cs="Times New Roman"/>
          <w:sz w:val="21"/>
        </w:rPr>
      </w:pPr>
      <w:r>
        <w:rPr>
          <w:rFonts w:cs="Times New Roman" w:ascii="Times New Roman" w:hAnsi="Times New Roman"/>
          <w:sz w:val="21"/>
        </w:rPr>
        <w:t>Convertible securities, managed by a single specific convertible manager, may be invested in a portfolio with an average credit rating no less than BBB-, with no more than 20% in B or 20% in BB rated securities. There will no bonds rated below B. Ratings may be provided by Moody’s or S&amp;P. Securities may be non-rated, but must have an implied rating within the policy guidelines.</w:t>
      </w:r>
    </w:p>
    <w:p>
      <w:pPr>
        <w:pStyle w:val="Normal"/>
        <w:pBdr>
          <w:bottom w:val="single" w:sz="4" w:space="1" w:color="000000"/>
        </w:pBdr>
        <w:rPr>
          <w:rFonts w:ascii="Times New Roman" w:hAnsi="Times New Roman" w:cs="Times New Roman"/>
          <w:sz w:val="21"/>
        </w:rPr>
      </w:pPr>
      <w:r>
        <w:rPr>
          <w:rFonts w:cs="Times New Roman" w:ascii="Times New Roman" w:hAnsi="Times New Roman"/>
          <w:sz w:val="21"/>
        </w:rPr>
      </w:r>
    </w:p>
    <w:p>
      <w:pPr>
        <w:pStyle w:val="Normal"/>
        <w:pBdr>
          <w:bottom w:val="single" w:sz="4" w:space="1" w:color="000000"/>
        </w:pBdr>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b/>
          <w:sz w:val="21"/>
        </w:rPr>
        <w:t>DELEGATION OF AUTHORITY</w:t>
      </w:r>
    </w:p>
    <w:p>
      <w:pPr>
        <w:pStyle w:val="Normal"/>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1.</w:t>
        <w:tab/>
        <w:t>Investment Management Consultant. The consultant may assist the Foundation Committee in: establishing investment policy, objectives, and guidelines; selecting investment managers; reviewing such managers over time; measuring and evaluating investment performance; and other tasks as deemed appropriate.</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numPr>
          <w:ilvl w:val="0"/>
          <w:numId w:val="13"/>
        </w:numPr>
        <w:jc w:val="start"/>
        <w:rPr>
          <w:rFonts w:ascii="Times New Roman" w:hAnsi="Times New Roman" w:cs="Times New Roman"/>
          <w:sz w:val="21"/>
        </w:rPr>
      </w:pPr>
      <w:r>
        <w:rPr>
          <w:rFonts w:cs="Times New Roman" w:ascii="Times New Roman" w:hAnsi="Times New Roman"/>
          <w:sz w:val="21"/>
        </w:rPr>
        <w:t>Investment Manager.  The investment manager has discretion to purchase, sell, or hold the specific securities that will be used to meet the Foundation's investment objectives.</w:t>
        <w:br/>
      </w:r>
    </w:p>
    <w:p>
      <w:pPr>
        <w:pStyle w:val="Normal"/>
        <w:numPr>
          <w:ilvl w:val="0"/>
          <w:numId w:val="13"/>
        </w:numPr>
        <w:rPr>
          <w:rFonts w:ascii="Times New Roman" w:hAnsi="Times New Roman" w:cs="Times New Roman"/>
          <w:b/>
          <w:sz w:val="21"/>
        </w:rPr>
      </w:pPr>
      <w:r>
        <w:rPr>
          <w:rFonts w:cs="Times New Roman" w:ascii="Times New Roman" w:hAnsi="Times New Roman"/>
          <w:sz w:val="21"/>
        </w:rPr>
        <w:t>Custodian.  The custodian will physically maintain possession of securities owned by the Foundation, collect dividend and interest payments, redeem maturing securities, and effect receipt and delivery following purchases and sales.  The custodian will also perform regular accounting of all assets owned, purchased, or sold, as well as movement of assets into and out of the Foundation accounts.</w:t>
      </w:r>
    </w:p>
    <w:p>
      <w:pPr>
        <w:pStyle w:val="Normal"/>
        <w:pBdr>
          <w:bottom w:val="single" w:sz="4" w:space="1" w:color="000000"/>
        </w:pBdr>
        <w:rPr>
          <w:rFonts w:ascii="Times New Roman" w:hAnsi="Times New Roman" w:cs="Times New Roman"/>
          <w:b/>
          <w:sz w:val="21"/>
        </w:rPr>
      </w:pPr>
      <w:r>
        <w:rPr>
          <w:rFonts w:cs="Times New Roman" w:ascii="Times New Roman" w:hAnsi="Times New Roman"/>
          <w:b/>
          <w:sz w:val="21"/>
        </w:rPr>
      </w:r>
    </w:p>
    <w:p>
      <w:pPr>
        <w:pStyle w:val="Heading7"/>
        <w:ind w:hanging="0" w:start="0"/>
        <w:rPr>
          <w:rFonts w:ascii="Times New Roman" w:hAnsi="Times New Roman" w:cs="Times New Roman"/>
          <w:sz w:val="21"/>
        </w:rPr>
      </w:pPr>
      <w:r>
        <w:rPr>
          <w:rFonts w:cs="Times New Roman" w:ascii="Times New Roman" w:hAnsi="Times New Roman"/>
          <w:sz w:val="21"/>
        </w:rPr>
        <w:t>SELECTION OF INVESTMENT MANAGERS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The Investment Committee selection of Investment Manager(s) must be based on prudent due diligence procedures.  A qualifying investment manager must be a registered investment advisor under the Investment Advisors Act of 1940, or a bank or insurance company.</w:t>
      </w:r>
    </w:p>
    <w:p>
      <w:pPr>
        <w:pStyle w:val="line"/>
        <w:pBdr>
          <w:bottom w:val="nil"/>
        </w:pBdr>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INVESTMENT MANAGER PERFORMANCE REVIEW AND EVALUATION</w:t>
      </w:r>
    </w:p>
    <w:p>
      <w:pPr>
        <w:pStyle w:val="Normal"/>
        <w:rPr>
          <w:rFonts w:ascii="Times New Roman" w:hAnsi="Times New Roman" w:cs="Times New Roman"/>
          <w:b/>
          <w:sz w:val="21"/>
        </w:rPr>
      </w:pPr>
      <w:r>
        <w:rPr>
          <w:rFonts w:cs="Times New Roman" w:ascii="Times New Roman" w:hAnsi="Times New Roman"/>
          <w:b/>
          <w:sz w:val="21"/>
        </w:rPr>
      </w:r>
    </w:p>
    <w:p>
      <w:pPr>
        <w:pStyle w:val="Normal"/>
        <w:rPr>
          <w:rFonts w:ascii="Times New Roman" w:hAnsi="Times New Roman" w:cs="Times New Roman"/>
          <w:sz w:val="21"/>
        </w:rPr>
      </w:pPr>
      <w:r>
        <w:rPr>
          <w:rFonts w:cs="Times New Roman" w:ascii="Times New Roman" w:hAnsi="Times New Roman"/>
          <w:sz w:val="21"/>
        </w:rPr>
        <w:t>Performance reports generated by the Investment Consultant shall be compiled at least quarterly and communicated to the Investment Committee for review.  The investment performance of total portfolios, as well as asset class components, will be measured against commonly accepted performance benchmarks.  Consideration shall be given to the extent to which the investment results are consistent with the investment objectives, goals, and guidelines as set forth in this statement.  The Investment Committee intends to evaluate the portfolio(s) over at least a three-year period, but reserves the right to terminate a manager for any reason including the following:</w:t>
      </w:r>
    </w:p>
    <w:p>
      <w:pPr>
        <w:pStyle w:val="Normal"/>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1.</w:t>
        <w:tab/>
        <w:t>Investment performance which is significantly less than anticipated given the discipline employed and the risk parameters established, or unacceptable justification of poor results.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2.</w:t>
        <w:tab/>
        <w:t>Failure to adhere to any aspect of this statement of investment policy, including communication and reporting requirements.</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Normal"/>
        <w:ind w:hanging="504" w:start="720" w:end="0"/>
        <w:rPr>
          <w:rFonts w:ascii="Times New Roman" w:hAnsi="Times New Roman" w:cs="Times New Roman"/>
          <w:sz w:val="21"/>
        </w:rPr>
      </w:pPr>
      <w:r>
        <w:rPr>
          <w:rFonts w:cs="Times New Roman" w:ascii="Times New Roman" w:hAnsi="Times New Roman"/>
          <w:sz w:val="21"/>
        </w:rPr>
        <w:t>3.</w:t>
        <w:tab/>
        <w:t>Significant qualitative changes to the investment management organization; for example loss of a key person or persons or the sale of the organization to another entity.</w:t>
      </w:r>
    </w:p>
    <w:p>
      <w:pPr>
        <w:pStyle w:val="Normal"/>
        <w:ind w:hanging="504" w:start="720" w:end="0"/>
        <w:rPr>
          <w:rFonts w:ascii="Times New Roman" w:hAnsi="Times New Roman" w:cs="Times New Roman"/>
          <w:sz w:val="21"/>
        </w:rPr>
      </w:pPr>
      <w:r>
        <w:rPr>
          <w:rFonts w:cs="Times New Roman" w:ascii="Times New Roman" w:hAnsi="Times New Roman"/>
          <w:sz w:val="21"/>
        </w:rPr>
      </w:r>
    </w:p>
    <w:p>
      <w:pPr>
        <w:pStyle w:val="BodyTextIndent2"/>
        <w:rPr>
          <w:rFonts w:ascii="Times New Roman" w:hAnsi="Times New Roman" w:cs="Times New Roman"/>
          <w:sz w:val="21"/>
          <w:u w:val="none"/>
        </w:rPr>
      </w:pPr>
      <w:r>
        <w:rPr>
          <w:rFonts w:cs="Times New Roman" w:ascii="Times New Roman" w:hAnsi="Times New Roman"/>
          <w:sz w:val="21"/>
          <w:u w:val="none"/>
        </w:rPr>
        <w:t xml:space="preserve">4.  </w:t>
        <w:tab/>
        <w:t>Failure to be consistent with its investment style as measured by the appropriate benchmark as defined by the consultant.</w:t>
      </w:r>
    </w:p>
    <w:p>
      <w:pPr>
        <w:pStyle w:val="Normal"/>
        <w:ind w:hanging="504" w:start="504" w:end="0"/>
        <w:rPr>
          <w:rFonts w:ascii="Times New Roman" w:hAnsi="Times New Roman" w:cs="Times New Roman"/>
          <w:sz w:val="21"/>
          <w:u w:val="none"/>
        </w:rPr>
      </w:pPr>
      <w:r>
        <w:rPr>
          <w:rFonts w:cs="Times New Roman" w:ascii="Times New Roman" w:hAnsi="Times New Roman"/>
          <w:sz w:val="21"/>
          <w:u w:val="none"/>
        </w:rPr>
      </w:r>
    </w:p>
    <w:p>
      <w:pPr>
        <w:pStyle w:val="Normal"/>
        <w:rPr>
          <w:rFonts w:ascii="Times New Roman" w:hAnsi="Times New Roman" w:cs="Times New Roman"/>
          <w:sz w:val="21"/>
        </w:rPr>
      </w:pPr>
      <w:r>
        <w:rPr>
          <w:rFonts w:cs="Times New Roman" w:ascii="Times New Roman" w:hAnsi="Times New Roman"/>
          <w:sz w:val="21"/>
        </w:rPr>
        <w:t>Investment managers shall be reviewed regularly regarding performance, personnel, strategy, research capabilities, organizational and business matters, and other qualitative factors that may impact their ability to achieve the desired investment results.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This statement of investment policy is adopted on __________________, ___ 19___ by the Investment Committee of The Greater Houston Community Foundation whose signatures appear below.</w:t>
      </w:r>
    </w:p>
    <w:p>
      <w:pPr>
        <w:pStyle w:val="Normal"/>
        <w:rPr>
          <w:rFonts w:ascii="Times New Roman" w:hAnsi="Times New Roman" w:cs="Times New Roman"/>
          <w:sz w:val="21"/>
        </w:rPr>
      </w:pPr>
      <w:r>
        <w:rPr>
          <w:rFonts w:cs="Times New Roman" w:ascii="Times New Roman" w:hAnsi="Times New Roman"/>
          <w:sz w:val="21"/>
        </w:rPr>
      </w:r>
    </w:p>
    <w:tbl>
      <w:tblPr>
        <w:tblW w:w="9558" w:type="dxa"/>
        <w:jc w:val="start"/>
        <w:tblInd w:w="0" w:type="dxa"/>
        <w:tblLayout w:type="fixed"/>
        <w:tblCellMar>
          <w:top w:w="0" w:type="dxa"/>
          <w:start w:w="108" w:type="dxa"/>
          <w:bottom w:w="0" w:type="dxa"/>
          <w:end w:w="108" w:type="dxa"/>
        </w:tblCellMar>
      </w:tblPr>
      <w:tblGrid>
        <w:gridCol w:w="9558"/>
      </w:tblGrid>
      <w:tr>
        <w:trPr>
          <w:trHeight w:val="640" w:hRule="atLeast"/>
        </w:trPr>
        <w:tc>
          <w:tcPr>
            <w:tcW w:w="9558" w:type="dxa"/>
            <w:tcBorders/>
          </w:tcPr>
          <w:p>
            <w:pPr>
              <w:pStyle w:val="Normal"/>
              <w:snapToGrid w:val="fals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1.___________________________Date__________  5. ___________________________Date____________</w:t>
            </w:r>
          </w:p>
        </w:tc>
      </w:tr>
      <w:tr>
        <w:trPr>
          <w:trHeight w:val="640" w:hRule="atLeast"/>
        </w:trPr>
        <w:tc>
          <w:tcPr>
            <w:tcW w:w="9558" w:type="dxa"/>
            <w:tcBorders/>
          </w:tcPr>
          <w:p>
            <w:pPr>
              <w:pStyle w:val="Normal"/>
              <w:snapToGrid w:val="fals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2.___________________________Date__________  6. ___________________________Date____________</w:t>
            </w:r>
          </w:p>
        </w:tc>
      </w:tr>
      <w:tr>
        <w:trPr>
          <w:trHeight w:val="640" w:hRule="atLeast"/>
        </w:trPr>
        <w:tc>
          <w:tcPr>
            <w:tcW w:w="9558" w:type="dxa"/>
            <w:tcBorders/>
          </w:tcPr>
          <w:p>
            <w:pPr>
              <w:pStyle w:val="Normal"/>
              <w:snapToGrid w:val="fals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3.___________________________Date__________  7. ___________________________Date____________</w:t>
            </w:r>
          </w:p>
        </w:tc>
      </w:tr>
      <w:tr>
        <w:trPr>
          <w:trHeight w:val="640" w:hRule="atLeast"/>
        </w:trPr>
        <w:tc>
          <w:tcPr>
            <w:tcW w:w="9558" w:type="dxa"/>
            <w:tcBorders/>
          </w:tcPr>
          <w:p>
            <w:pPr>
              <w:pStyle w:val="Normal"/>
              <w:snapToGrid w:val="false"/>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4.___________________________Date__________  8. ___________________________Date____________</w:t>
            </w:r>
          </w:p>
        </w:tc>
      </w:tr>
    </w:tbl>
    <w:p>
      <w:pPr>
        <w:pStyle w:val="Heading4"/>
        <w:ind w:hanging="0" w:start="0"/>
        <w:jc w:val="center"/>
        <w:rPr>
          <w:rFonts w:ascii="Times New Roman" w:hAnsi="Times New Roman" w:cs="Times New Roman"/>
          <w:sz w:val="21"/>
        </w:rPr>
      </w:pPr>
      <w:r>
        <w:rPr>
          <w:rFonts w:cs="Times New Roman" w:ascii="Times New Roman" w:hAnsi="Times New Roman"/>
          <w:sz w:val="21"/>
        </w:rPr>
      </w:r>
    </w:p>
    <w:p>
      <w:pPr>
        <w:pStyle w:val="Heading4"/>
        <w:ind w:hanging="0" w:start="0"/>
        <w:jc w:val="center"/>
        <w:rPr>
          <w:rFonts w:ascii="Times New Roman" w:hAnsi="Times New Roman" w:cs="Times New Roman"/>
          <w:sz w:val="21"/>
        </w:rPr>
      </w:pPr>
      <w:r>
        <w:rPr>
          <w:rFonts w:cs="Times New Roman" w:ascii="Times New Roman" w:hAnsi="Times New Roman"/>
          <w:sz w:val="21"/>
        </w:rPr>
      </w:r>
    </w:p>
    <w:p>
      <w:pPr>
        <w:pStyle w:val="Heading4"/>
        <w:ind w:hanging="0" w:start="0"/>
        <w:jc w:val="center"/>
        <w:rPr>
          <w:rFonts w:ascii="Times New Roman" w:hAnsi="Times New Roman" w:cs="Times New Roman"/>
          <w:sz w:val="21"/>
        </w:rPr>
      </w:pPr>
      <w:r>
        <w:rPr>
          <w:rFonts w:cs="Times New Roman" w:ascii="Times New Roman" w:hAnsi="Times New Roman"/>
          <w:sz w:val="21"/>
        </w:rPr>
      </w:r>
    </w:p>
    <w:p>
      <w:pPr>
        <w:pStyle w:val="Heading4"/>
        <w:ind w:hanging="0" w:start="0"/>
        <w:jc w:val="center"/>
        <w:rPr>
          <w:rFonts w:ascii="Times New Roman" w:hAnsi="Times New Roman" w:cs="Times New Roman"/>
          <w:sz w:val="21"/>
        </w:rPr>
      </w:pPr>
      <w:r>
        <w:rPr>
          <w:rFonts w:cs="Times New Roman" w:ascii="Times New Roman" w:hAnsi="Times New Roman"/>
          <w:sz w:val="21"/>
        </w:rPr>
        <w:t>Addendum to Investment Policy, Objectives, and Guidelines</w:t>
      </w:r>
    </w:p>
    <w:p>
      <w:pPr>
        <w:pStyle w:val="Normal"/>
        <w:jc w:val="center"/>
        <w:rPr>
          <w:rFonts w:ascii="Times New Roman" w:hAnsi="Times New Roman" w:cs="Times New Roman"/>
          <w:b/>
          <w:sz w:val="21"/>
        </w:rPr>
      </w:pPr>
      <w:r>
        <w:rPr>
          <w:rFonts w:cs="Times New Roman" w:ascii="Times New Roman" w:hAnsi="Times New Roman"/>
          <w:b/>
          <w:sz w:val="21"/>
        </w:rPr>
        <w:t>(Fayez Sarofim  - Large Cap Growth Equity/Intermediate Fixed Income Balanced)</w:t>
      </w:r>
    </w:p>
    <w:p>
      <w:pPr>
        <w:pStyle w:val="Normal"/>
        <w:rPr>
          <w:rFonts w:ascii="Times New Roman" w:hAnsi="Times New Roman" w:cs="Times New Roman"/>
          <w:b/>
          <w:sz w:val="21"/>
        </w:rPr>
      </w:pPr>
      <w:r>
        <w:rPr>
          <w:rFonts w:cs="Times New Roman" w:ascii="Times New Roman" w:hAnsi="Times New Roman"/>
          <w:b/>
          <w:sz w:val="21"/>
        </w:rPr>
      </w:r>
    </w:p>
    <w:p>
      <w:pPr>
        <w:pStyle w:val="Heading1"/>
        <w:rPr>
          <w:rFonts w:ascii="Times New Roman" w:hAnsi="Times New Roman" w:cs="Times New Roman"/>
          <w:sz w:val="21"/>
        </w:rPr>
      </w:pPr>
      <w:r>
        <w:rPr>
          <w:rFonts w:cs="Times New Roman" w:ascii="Times New Roman" w:hAnsi="Times New Roman"/>
          <w:sz w:val="21"/>
        </w:rPr>
        <w:t>Portfolio Strategy – Balanced Portfolio</w:t>
      </w:r>
    </w:p>
    <w:p>
      <w:pPr>
        <w:pStyle w:val="Normal"/>
        <w:rPr>
          <w:rFonts w:ascii="Times New Roman" w:hAnsi="Times New Roman" w:cs="Times New Roman"/>
          <w:sz w:val="21"/>
        </w:rPr>
      </w:pPr>
      <w:r>
        <w:rPr>
          <w:rFonts w:cs="Times New Roman" w:ascii="Times New Roman" w:hAnsi="Times New Roman"/>
          <w:sz w:val="21"/>
        </w:rPr>
      </w:r>
    </w:p>
    <w:p>
      <w:pPr>
        <w:pStyle w:val="Normal"/>
        <w:rPr/>
      </w:pPr>
      <w:r>
        <w:rPr>
          <w:rFonts w:cs="Times New Roman" w:ascii="Times New Roman" w:hAnsi="Times New Roman"/>
          <w:sz w:val="21"/>
        </w:rPr>
        <w:t>The investment objectives and guidelines for the assets managed by Fayez Sarofim</w:t>
      </w:r>
      <w:r>
        <w:rPr>
          <w:rFonts w:cs="Times New Roman" w:ascii="Times New Roman" w:hAnsi="Times New Roman"/>
          <w:b/>
          <w:sz w:val="21"/>
        </w:rPr>
        <w:t xml:space="preserve"> </w:t>
      </w:r>
      <w:r>
        <w:rPr>
          <w:rFonts w:cs="Times New Roman" w:ascii="Times New Roman" w:hAnsi="Times New Roman"/>
          <w:sz w:val="21"/>
        </w:rPr>
        <w:t>for The Greater Houston Community Foundation are defined in this document and the Statement of Investment Policy, Objectives, and Guidelines.  The policy items included in the investment policy statement are applicable for the entire Plan, but may not apply to each individual manager.  If a policy item in this addendum is in disagreement with a policy item in the investment policy statement, the item in this addendum shall apply.  The manager is instructed to incorporate these guidelines into their investment policy.</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Specific Investment Goals</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Over a three year period, as established by the Investment Committee, it is the goal of the Foundation for the assets managed by Fayez Sarofim</w:t>
      </w:r>
      <w:r>
        <w:rPr>
          <w:rFonts w:cs="Times New Roman" w:ascii="Times New Roman" w:hAnsi="Times New Roman"/>
          <w:b/>
          <w:sz w:val="21"/>
        </w:rPr>
        <w:t xml:space="preserve"> </w:t>
      </w:r>
      <w:r>
        <w:rPr>
          <w:rFonts w:cs="Times New Roman" w:ascii="Times New Roman" w:hAnsi="Times New Roman"/>
          <w:sz w:val="21"/>
        </w:rPr>
        <w:t>to meet or exceed net of fees:</w:t>
      </w:r>
    </w:p>
    <w:p>
      <w:pPr>
        <w:pStyle w:val="Normal"/>
        <w:ind w:start="720" w:end="0"/>
        <w:rPr>
          <w:rFonts w:ascii="Times New Roman" w:hAnsi="Times New Roman" w:cs="Times New Roman"/>
          <w:sz w:val="21"/>
        </w:rPr>
      </w:pPr>
      <w:r>
        <w:rPr>
          <w:rFonts w:cs="Times New Roman" w:ascii="Times New Roman" w:hAnsi="Times New Roman"/>
          <w:sz w:val="21"/>
        </w:rPr>
      </w:r>
    </w:p>
    <w:p>
      <w:pPr>
        <w:pStyle w:val="Normal"/>
        <w:ind w:start="720" w:end="0"/>
        <w:rPr>
          <w:rFonts w:ascii="Times New Roman" w:hAnsi="Times New Roman" w:cs="Times New Roman"/>
          <w:sz w:val="21"/>
        </w:rPr>
      </w:pPr>
      <w:r>
        <w:rPr>
          <w:rFonts w:cs="Times New Roman" w:ascii="Times New Roman" w:hAnsi="Times New Roman"/>
          <w:sz w:val="21"/>
        </w:rPr>
        <w:t>The return of the stock market as measured by the blend of ___ indexes over a market cycle of 3 years but measured and evaluated quarterly.  Style consistency and relative performance will be evaluated quarterly for progress toward the longer-term goals.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Volatility (Risk)</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Fayez Sarofim</w:t>
      </w:r>
      <w:r>
        <w:rPr>
          <w:rFonts w:cs="Times New Roman" w:ascii="Times New Roman" w:hAnsi="Times New Roman"/>
          <w:b/>
          <w:sz w:val="21"/>
        </w:rPr>
        <w:t xml:space="preserve"> </w:t>
      </w:r>
      <w:r>
        <w:rPr>
          <w:rFonts w:cs="Times New Roman" w:ascii="Times New Roman" w:hAnsi="Times New Roman"/>
          <w:sz w:val="21"/>
        </w:rPr>
        <w:t>is expected to meet its objectives with a level of risk consistent with the risk of the index stated above.</w:t>
      </w:r>
    </w:p>
    <w:p>
      <w:pPr>
        <w:pStyle w:val="Normal"/>
        <w:rPr>
          <w:rFonts w:ascii="Times New Roman" w:hAnsi="Times New Roman" w:cs="Times New Roman"/>
          <w:sz w:val="21"/>
        </w:rPr>
      </w:pPr>
      <w:r>
        <w:rPr>
          <w:rFonts w:cs="Times New Roman" w:ascii="Times New Roman" w:hAnsi="Times New Roman"/>
          <w:sz w:val="21"/>
        </w:rPr>
      </w:r>
    </w:p>
    <w:p>
      <w:pPr>
        <w:pStyle w:val="Normal"/>
        <w:ind w:hanging="360" w:start="360" w:end="0"/>
        <w:rPr>
          <w:rFonts w:ascii="Times New Roman" w:hAnsi="Times New Roman" w:cs="Times New Roman"/>
          <w:b/>
          <w:sz w:val="21"/>
        </w:rPr>
      </w:pPr>
      <w:r>
        <w:rPr>
          <w:rFonts w:cs="Times New Roman" w:ascii="Times New Roman" w:hAnsi="Times New Roman"/>
          <w:b/>
          <w:sz w:val="21"/>
        </w:rPr>
        <w:t>Asset Allocation Guidelines</w:t>
      </w:r>
    </w:p>
    <w:p>
      <w:pPr>
        <w:pStyle w:val="Normal"/>
        <w:ind w:hanging="360" w:start="360" w:end="0"/>
        <w:rPr>
          <w:rFonts w:ascii="Times New Roman" w:hAnsi="Times New Roman" w:cs="Times New Roman"/>
          <w:b/>
          <w:sz w:val="21"/>
        </w:rPr>
      </w:pPr>
      <w:r>
        <w:rPr>
          <w:rFonts w:cs="Times New Roman" w:ascii="Times New Roman" w:hAnsi="Times New Roman"/>
          <w:b/>
          <w:sz w:val="21"/>
        </w:rPr>
      </w:r>
    </w:p>
    <w:tbl>
      <w:tblPr>
        <w:tblW w:w="5770" w:type="dxa"/>
        <w:jc w:val="start"/>
        <w:tblInd w:w="1440" w:type="dxa"/>
        <w:tblLayout w:type="fixed"/>
        <w:tblCellMar>
          <w:top w:w="0" w:type="dxa"/>
          <w:start w:w="108" w:type="dxa"/>
          <w:bottom w:w="0" w:type="dxa"/>
          <w:end w:w="108" w:type="dxa"/>
        </w:tblCellMar>
      </w:tblPr>
      <w:tblGrid>
        <w:gridCol w:w="3250"/>
        <w:gridCol w:w="1260"/>
        <w:gridCol w:w="1260"/>
      </w:tblGrid>
      <w:tr>
        <w:trPr/>
        <w:tc>
          <w:tcPr>
            <w:tcW w:w="3250" w:type="dxa"/>
            <w:tcBorders/>
          </w:tcPr>
          <w:p>
            <w:pPr>
              <w:pStyle w:val="Normal"/>
              <w:ind w:hanging="504" w:start="504" w:end="0"/>
              <w:rPr>
                <w:rFonts w:ascii="Times New Roman" w:hAnsi="Times New Roman" w:cs="Times New Roman"/>
                <w:sz w:val="21"/>
                <w:u w:val="single"/>
              </w:rPr>
            </w:pPr>
            <w:r>
              <w:rPr>
                <w:rFonts w:cs="Times New Roman" w:ascii="Times New Roman" w:hAnsi="Times New Roman"/>
                <w:sz w:val="21"/>
                <w:u w:val="single"/>
              </w:rPr>
              <w:t>Asset Class</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Minimum</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Maximum</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Equities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45%</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55%</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Fixed Income</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35%</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45%</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Cash and Equivalents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5%</w:t>
            </w:r>
          </w:p>
        </w:tc>
      </w:tr>
    </w:tbl>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Heading4"/>
        <w:ind w:hanging="0" w:start="0"/>
        <w:jc w:val="center"/>
        <w:rPr>
          <w:rFonts w:ascii="Times New Roman" w:hAnsi="Times New Roman" w:cs="Times New Roman"/>
          <w:sz w:val="21"/>
        </w:rPr>
      </w:pPr>
      <w:r>
        <w:rPr>
          <w:rFonts w:cs="Times New Roman" w:ascii="Times New Roman" w:hAnsi="Times New Roman"/>
          <w:sz w:val="21"/>
        </w:rPr>
        <w:t>Addendum to Investment Policy, Objectives, and Guidelines</w:t>
      </w:r>
    </w:p>
    <w:p>
      <w:pPr>
        <w:pStyle w:val="Normal"/>
        <w:jc w:val="center"/>
        <w:rPr>
          <w:rFonts w:ascii="Times New Roman" w:hAnsi="Times New Roman" w:cs="Times New Roman"/>
          <w:b/>
          <w:sz w:val="21"/>
        </w:rPr>
      </w:pPr>
      <w:r>
        <w:rPr>
          <w:rFonts w:cs="Times New Roman" w:ascii="Times New Roman" w:hAnsi="Times New Roman"/>
          <w:b/>
          <w:sz w:val="21"/>
        </w:rPr>
        <w:t>(NWQ Special Equity  - Mid/Large Value Equity)</w:t>
      </w:r>
    </w:p>
    <w:p>
      <w:pPr>
        <w:pStyle w:val="Normal"/>
        <w:rPr>
          <w:rFonts w:ascii="Times New Roman" w:hAnsi="Times New Roman" w:cs="Times New Roman"/>
          <w:b/>
          <w:sz w:val="21"/>
        </w:rPr>
      </w:pPr>
      <w:r>
        <w:rPr>
          <w:rFonts w:cs="Times New Roman" w:ascii="Times New Roman" w:hAnsi="Times New Roman"/>
          <w:b/>
          <w:sz w:val="21"/>
        </w:rPr>
      </w:r>
    </w:p>
    <w:p>
      <w:pPr>
        <w:pStyle w:val="Heading1"/>
        <w:rPr>
          <w:rFonts w:ascii="Times New Roman" w:hAnsi="Times New Roman" w:cs="Times New Roman"/>
          <w:sz w:val="21"/>
        </w:rPr>
      </w:pPr>
      <w:r>
        <w:rPr>
          <w:rFonts w:cs="Times New Roman" w:ascii="Times New Roman" w:hAnsi="Times New Roman"/>
          <w:sz w:val="21"/>
        </w:rPr>
        <w:t>Portfolio Strategy – Mid/Large Capitalization Value Equity Investments</w:t>
      </w:r>
    </w:p>
    <w:p>
      <w:pPr>
        <w:pStyle w:val="Normal"/>
        <w:rPr>
          <w:rFonts w:ascii="Times New Roman" w:hAnsi="Times New Roman" w:cs="Times New Roman"/>
          <w:sz w:val="21"/>
        </w:rPr>
      </w:pPr>
      <w:r>
        <w:rPr>
          <w:rFonts w:cs="Times New Roman" w:ascii="Times New Roman" w:hAnsi="Times New Roman"/>
          <w:sz w:val="21"/>
        </w:rPr>
      </w:r>
    </w:p>
    <w:p>
      <w:pPr>
        <w:pStyle w:val="Normal"/>
        <w:rPr/>
      </w:pPr>
      <w:r>
        <w:rPr>
          <w:rFonts w:cs="Times New Roman" w:ascii="Times New Roman" w:hAnsi="Times New Roman"/>
          <w:sz w:val="21"/>
        </w:rPr>
        <w:t>The investment objectives and guidelines for the assets managed by NWQ</w:t>
      </w:r>
      <w:r>
        <w:rPr>
          <w:rFonts w:cs="Times New Roman" w:ascii="Times New Roman" w:hAnsi="Times New Roman"/>
          <w:b/>
          <w:sz w:val="21"/>
        </w:rPr>
        <w:t xml:space="preserve"> </w:t>
      </w:r>
      <w:r>
        <w:rPr>
          <w:rFonts w:cs="Times New Roman" w:ascii="Times New Roman" w:hAnsi="Times New Roman"/>
          <w:sz w:val="21"/>
        </w:rPr>
        <w:t>for The Greater Houston Community Foundation are defined in this document and the Statement of Investment Policy, Objectives, and Guidelines.  The policy items included in the investment policy statement are applicable for the entire Plan, but may not apply to each individual manager.  If a policy item in this addendum is in disagreement with a policy item in the investment policy statement, the item in this addendum shall apply.  The manager is instructed to incorporate these guidelines into their investment policy.</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Specific Investment Goals</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Over a three year period, as established by the Investment Committee, it is the goal of the Foundation for the assets managed by NWQ</w:t>
      </w:r>
      <w:r>
        <w:rPr>
          <w:rFonts w:cs="Times New Roman" w:ascii="Times New Roman" w:hAnsi="Times New Roman"/>
          <w:b/>
          <w:sz w:val="21"/>
        </w:rPr>
        <w:t xml:space="preserve"> </w:t>
      </w:r>
      <w:r>
        <w:rPr>
          <w:rFonts w:cs="Times New Roman" w:ascii="Times New Roman" w:hAnsi="Times New Roman"/>
          <w:sz w:val="21"/>
        </w:rPr>
        <w:t>to meet or exceed net of fees:</w:t>
      </w:r>
    </w:p>
    <w:p>
      <w:pPr>
        <w:pStyle w:val="Normal"/>
        <w:ind w:start="720" w:end="0"/>
        <w:rPr>
          <w:rFonts w:ascii="Times New Roman" w:hAnsi="Times New Roman" w:cs="Times New Roman"/>
          <w:sz w:val="21"/>
        </w:rPr>
      </w:pPr>
      <w:r>
        <w:rPr>
          <w:rFonts w:cs="Times New Roman" w:ascii="Times New Roman" w:hAnsi="Times New Roman"/>
          <w:sz w:val="21"/>
        </w:rPr>
      </w:r>
    </w:p>
    <w:p>
      <w:pPr>
        <w:pStyle w:val="Normal"/>
        <w:ind w:start="720" w:end="0"/>
        <w:rPr>
          <w:rFonts w:ascii="Times New Roman" w:hAnsi="Times New Roman" w:cs="Times New Roman"/>
          <w:sz w:val="21"/>
        </w:rPr>
      </w:pPr>
      <w:r>
        <w:rPr>
          <w:rFonts w:cs="Times New Roman" w:ascii="Times New Roman" w:hAnsi="Times New Roman"/>
          <w:sz w:val="21"/>
        </w:rPr>
        <w:t>The return of the stock market as measured by the Russell Mid Cap Value Index and the Russell 1000 Value Index over a market cycle of 3 years but measured and evaluated quarterly.  Style consistency and relative performance will be evaluated quarterly for progress toward the longer-term goals.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Volatility (Risk)</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NWQ</w:t>
      </w:r>
      <w:r>
        <w:rPr>
          <w:rFonts w:cs="Times New Roman" w:ascii="Times New Roman" w:hAnsi="Times New Roman"/>
          <w:b/>
          <w:sz w:val="21"/>
        </w:rPr>
        <w:t xml:space="preserve"> </w:t>
      </w:r>
      <w:r>
        <w:rPr>
          <w:rFonts w:cs="Times New Roman" w:ascii="Times New Roman" w:hAnsi="Times New Roman"/>
          <w:sz w:val="21"/>
        </w:rPr>
        <w:t>is expected to meet its objectives with a level of risk consistent with the risk of the index stated above.</w:t>
      </w:r>
    </w:p>
    <w:p>
      <w:pPr>
        <w:pStyle w:val="Normal"/>
        <w:rPr>
          <w:rFonts w:ascii="Times New Roman" w:hAnsi="Times New Roman" w:cs="Times New Roman"/>
          <w:sz w:val="21"/>
        </w:rPr>
      </w:pPr>
      <w:r>
        <w:rPr>
          <w:rFonts w:cs="Times New Roman" w:ascii="Times New Roman" w:hAnsi="Times New Roman"/>
          <w:sz w:val="21"/>
        </w:rPr>
      </w:r>
    </w:p>
    <w:p>
      <w:pPr>
        <w:pStyle w:val="Normal"/>
        <w:ind w:hanging="360" w:start="360" w:end="0"/>
        <w:rPr>
          <w:rFonts w:ascii="Times New Roman" w:hAnsi="Times New Roman" w:cs="Times New Roman"/>
          <w:b/>
          <w:sz w:val="21"/>
        </w:rPr>
      </w:pPr>
      <w:r>
        <w:rPr>
          <w:rFonts w:cs="Times New Roman" w:ascii="Times New Roman" w:hAnsi="Times New Roman"/>
          <w:b/>
          <w:sz w:val="21"/>
        </w:rPr>
        <w:t>Asset Allocation Guidelines</w:t>
      </w:r>
    </w:p>
    <w:p>
      <w:pPr>
        <w:pStyle w:val="Normal"/>
        <w:ind w:hanging="360" w:start="360" w:end="0"/>
        <w:rPr>
          <w:rFonts w:ascii="Times New Roman" w:hAnsi="Times New Roman" w:cs="Times New Roman"/>
          <w:b/>
          <w:sz w:val="21"/>
        </w:rPr>
      </w:pPr>
      <w:r>
        <w:rPr>
          <w:rFonts w:cs="Times New Roman" w:ascii="Times New Roman" w:hAnsi="Times New Roman"/>
          <w:b/>
          <w:sz w:val="21"/>
        </w:rPr>
      </w:r>
    </w:p>
    <w:tbl>
      <w:tblPr>
        <w:tblW w:w="5770" w:type="dxa"/>
        <w:jc w:val="start"/>
        <w:tblInd w:w="1440" w:type="dxa"/>
        <w:tblLayout w:type="fixed"/>
        <w:tblCellMar>
          <w:top w:w="0" w:type="dxa"/>
          <w:start w:w="108" w:type="dxa"/>
          <w:bottom w:w="0" w:type="dxa"/>
          <w:end w:w="108" w:type="dxa"/>
        </w:tblCellMar>
      </w:tblPr>
      <w:tblGrid>
        <w:gridCol w:w="3250"/>
        <w:gridCol w:w="1260"/>
        <w:gridCol w:w="1260"/>
      </w:tblGrid>
      <w:tr>
        <w:trPr/>
        <w:tc>
          <w:tcPr>
            <w:tcW w:w="3250" w:type="dxa"/>
            <w:tcBorders/>
          </w:tcPr>
          <w:p>
            <w:pPr>
              <w:pStyle w:val="Normal"/>
              <w:ind w:hanging="504" w:start="504" w:end="0"/>
              <w:rPr>
                <w:rFonts w:ascii="Times New Roman" w:hAnsi="Times New Roman" w:cs="Times New Roman"/>
                <w:sz w:val="21"/>
                <w:u w:val="single"/>
              </w:rPr>
            </w:pPr>
            <w:r>
              <w:rPr>
                <w:rFonts w:cs="Times New Roman" w:ascii="Times New Roman" w:hAnsi="Times New Roman"/>
                <w:sz w:val="21"/>
                <w:u w:val="single"/>
              </w:rPr>
              <w:t>Asset Class</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Minimum</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Maximum</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Equities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90%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100%</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Cash and Equivalents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10%</w:t>
            </w:r>
          </w:p>
        </w:tc>
      </w:tr>
    </w:tbl>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Heading4"/>
        <w:ind w:hanging="0" w:start="0"/>
        <w:jc w:val="center"/>
        <w:rPr>
          <w:rFonts w:ascii="Times New Roman" w:hAnsi="Times New Roman" w:cs="Times New Roman"/>
          <w:sz w:val="21"/>
        </w:rPr>
      </w:pPr>
      <w:r>
        <w:rPr>
          <w:rFonts w:cs="Times New Roman" w:ascii="Times New Roman" w:hAnsi="Times New Roman"/>
          <w:sz w:val="21"/>
        </w:rPr>
        <w:t>Addendum to Investment Policy, Objectives, and Guidelines</w:t>
      </w:r>
    </w:p>
    <w:p>
      <w:pPr>
        <w:pStyle w:val="Normal"/>
        <w:jc w:val="center"/>
        <w:rPr>
          <w:rFonts w:ascii="Times New Roman" w:hAnsi="Times New Roman" w:cs="Times New Roman"/>
          <w:b/>
          <w:sz w:val="21"/>
        </w:rPr>
      </w:pPr>
      <w:r>
        <w:rPr>
          <w:rFonts w:cs="Times New Roman" w:ascii="Times New Roman" w:hAnsi="Times New Roman"/>
          <w:b/>
          <w:sz w:val="21"/>
        </w:rPr>
        <w:t>(TCW Group - Small Cap Growth Equity)</w:t>
      </w:r>
    </w:p>
    <w:p>
      <w:pPr>
        <w:pStyle w:val="Normal"/>
        <w:rPr>
          <w:rFonts w:ascii="Times New Roman" w:hAnsi="Times New Roman" w:cs="Times New Roman"/>
          <w:b/>
          <w:sz w:val="21"/>
        </w:rPr>
      </w:pPr>
      <w:r>
        <w:rPr>
          <w:rFonts w:cs="Times New Roman" w:ascii="Times New Roman" w:hAnsi="Times New Roman"/>
          <w:b/>
          <w:sz w:val="21"/>
        </w:rPr>
      </w:r>
    </w:p>
    <w:p>
      <w:pPr>
        <w:pStyle w:val="Heading1"/>
        <w:rPr>
          <w:rFonts w:ascii="Times New Roman" w:hAnsi="Times New Roman" w:cs="Times New Roman"/>
          <w:sz w:val="21"/>
        </w:rPr>
      </w:pPr>
      <w:r>
        <w:rPr>
          <w:rFonts w:cs="Times New Roman" w:ascii="Times New Roman" w:hAnsi="Times New Roman"/>
          <w:sz w:val="21"/>
        </w:rPr>
        <w:t>Portfolio Strategy - Small Capitalization Growth Equity Investments</w:t>
      </w:r>
    </w:p>
    <w:p>
      <w:pPr>
        <w:pStyle w:val="Normal"/>
        <w:rPr>
          <w:rFonts w:ascii="Times New Roman" w:hAnsi="Times New Roman" w:cs="Times New Roman"/>
          <w:sz w:val="21"/>
        </w:rPr>
      </w:pPr>
      <w:r>
        <w:rPr>
          <w:rFonts w:cs="Times New Roman" w:ascii="Times New Roman" w:hAnsi="Times New Roman"/>
          <w:sz w:val="21"/>
        </w:rPr>
      </w:r>
    </w:p>
    <w:p>
      <w:pPr>
        <w:pStyle w:val="Normal"/>
        <w:rPr/>
      </w:pPr>
      <w:r>
        <w:rPr>
          <w:rFonts w:cs="Times New Roman" w:ascii="Times New Roman" w:hAnsi="Times New Roman"/>
          <w:sz w:val="21"/>
        </w:rPr>
        <w:t>The investment objectives and guidelines for the assets managed by TCW Group</w:t>
      </w:r>
      <w:r>
        <w:rPr>
          <w:rFonts w:cs="Times New Roman" w:ascii="Times New Roman" w:hAnsi="Times New Roman"/>
          <w:b/>
          <w:sz w:val="21"/>
        </w:rPr>
        <w:t xml:space="preserve"> </w:t>
      </w:r>
      <w:r>
        <w:rPr>
          <w:rFonts w:cs="Times New Roman" w:ascii="Times New Roman" w:hAnsi="Times New Roman"/>
          <w:sz w:val="21"/>
        </w:rPr>
        <w:t>for The Greater Houston Community Foundation are defined in this document and the Statement of Investment Policy, Objectives, and Guidelines.  The policy items included in the investment policy statement are applicable for the entire Plan, but may not apply to each individual manager.  If a policy item in this addendum is in disagreement with a policy item in the investment policy statement, the item in this addendum shall apply.  The manager is instructed to incorporate these guidelines into their investment policy.</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Specific Investment Goals</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Over a three year period, as established by the Investment Committee, it is the goal of the Foundation for the assets managed by TCW Group</w:t>
      </w:r>
      <w:r>
        <w:rPr>
          <w:rFonts w:cs="Times New Roman" w:ascii="Times New Roman" w:hAnsi="Times New Roman"/>
          <w:b/>
          <w:sz w:val="21"/>
        </w:rPr>
        <w:t xml:space="preserve"> </w:t>
      </w:r>
      <w:r>
        <w:rPr>
          <w:rFonts w:cs="Times New Roman" w:ascii="Times New Roman" w:hAnsi="Times New Roman"/>
          <w:sz w:val="21"/>
        </w:rPr>
        <w:t>to meet or exceed net of fees:</w:t>
      </w:r>
    </w:p>
    <w:p>
      <w:pPr>
        <w:pStyle w:val="Normal"/>
        <w:ind w:start="720" w:end="0"/>
        <w:rPr>
          <w:rFonts w:ascii="Times New Roman" w:hAnsi="Times New Roman" w:cs="Times New Roman"/>
          <w:sz w:val="21"/>
        </w:rPr>
      </w:pPr>
      <w:r>
        <w:rPr>
          <w:rFonts w:cs="Times New Roman" w:ascii="Times New Roman" w:hAnsi="Times New Roman"/>
          <w:sz w:val="21"/>
        </w:rPr>
      </w:r>
    </w:p>
    <w:p>
      <w:pPr>
        <w:pStyle w:val="Normal"/>
        <w:ind w:start="720" w:end="0"/>
        <w:rPr>
          <w:rFonts w:ascii="Times New Roman" w:hAnsi="Times New Roman" w:cs="Times New Roman"/>
          <w:sz w:val="21"/>
        </w:rPr>
      </w:pPr>
      <w:r>
        <w:rPr>
          <w:rFonts w:cs="Times New Roman" w:ascii="Times New Roman" w:hAnsi="Times New Roman"/>
          <w:sz w:val="21"/>
        </w:rPr>
        <w:t>The return of the stock market as measured by the Russell 2000 Small Cap Growth Stock Index over a market cycle of 3 years but measured and evaluated quarterly.  Style consistency and relative performance will be evaluated quarterly for progress toward the longer-term goals.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Volatility (Risk)</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TCW Group</w:t>
      </w:r>
      <w:r>
        <w:rPr>
          <w:rFonts w:cs="Times New Roman" w:ascii="Times New Roman" w:hAnsi="Times New Roman"/>
          <w:b/>
          <w:sz w:val="21"/>
        </w:rPr>
        <w:t xml:space="preserve"> </w:t>
      </w:r>
      <w:r>
        <w:rPr>
          <w:rFonts w:cs="Times New Roman" w:ascii="Times New Roman" w:hAnsi="Times New Roman"/>
          <w:sz w:val="21"/>
        </w:rPr>
        <w:t>is expected to meet its objectives with a level of risk consistent with the risk of the index stated above.</w:t>
      </w:r>
    </w:p>
    <w:p>
      <w:pPr>
        <w:pStyle w:val="Normal"/>
        <w:rPr>
          <w:rFonts w:ascii="Times New Roman" w:hAnsi="Times New Roman" w:cs="Times New Roman"/>
          <w:sz w:val="21"/>
        </w:rPr>
      </w:pPr>
      <w:r>
        <w:rPr>
          <w:rFonts w:cs="Times New Roman" w:ascii="Times New Roman" w:hAnsi="Times New Roman"/>
          <w:sz w:val="21"/>
        </w:rPr>
      </w:r>
    </w:p>
    <w:p>
      <w:pPr>
        <w:pStyle w:val="Normal"/>
        <w:ind w:hanging="360" w:start="360" w:end="0"/>
        <w:rPr>
          <w:rFonts w:ascii="Times New Roman" w:hAnsi="Times New Roman" w:cs="Times New Roman"/>
          <w:b/>
          <w:sz w:val="21"/>
        </w:rPr>
      </w:pPr>
      <w:r>
        <w:rPr>
          <w:rFonts w:cs="Times New Roman" w:ascii="Times New Roman" w:hAnsi="Times New Roman"/>
          <w:b/>
          <w:sz w:val="21"/>
        </w:rPr>
        <w:t>Asset Allocation Guidelines</w:t>
      </w:r>
    </w:p>
    <w:p>
      <w:pPr>
        <w:pStyle w:val="Normal"/>
        <w:ind w:hanging="360" w:start="360" w:end="0"/>
        <w:rPr>
          <w:rFonts w:ascii="Times New Roman" w:hAnsi="Times New Roman" w:cs="Times New Roman"/>
          <w:b/>
          <w:sz w:val="21"/>
        </w:rPr>
      </w:pPr>
      <w:r>
        <w:rPr>
          <w:rFonts w:cs="Times New Roman" w:ascii="Times New Roman" w:hAnsi="Times New Roman"/>
          <w:b/>
          <w:sz w:val="21"/>
        </w:rPr>
      </w:r>
    </w:p>
    <w:tbl>
      <w:tblPr>
        <w:tblW w:w="5770" w:type="dxa"/>
        <w:jc w:val="start"/>
        <w:tblInd w:w="1440" w:type="dxa"/>
        <w:tblLayout w:type="fixed"/>
        <w:tblCellMar>
          <w:top w:w="0" w:type="dxa"/>
          <w:start w:w="108" w:type="dxa"/>
          <w:bottom w:w="0" w:type="dxa"/>
          <w:end w:w="108" w:type="dxa"/>
        </w:tblCellMar>
      </w:tblPr>
      <w:tblGrid>
        <w:gridCol w:w="3250"/>
        <w:gridCol w:w="1260"/>
        <w:gridCol w:w="1260"/>
      </w:tblGrid>
      <w:tr>
        <w:trPr/>
        <w:tc>
          <w:tcPr>
            <w:tcW w:w="3250" w:type="dxa"/>
            <w:tcBorders/>
          </w:tcPr>
          <w:p>
            <w:pPr>
              <w:pStyle w:val="Normal"/>
              <w:ind w:hanging="504" w:start="504" w:end="0"/>
              <w:rPr>
                <w:rFonts w:ascii="Times New Roman" w:hAnsi="Times New Roman" w:cs="Times New Roman"/>
                <w:sz w:val="21"/>
                <w:u w:val="single"/>
              </w:rPr>
            </w:pPr>
            <w:r>
              <w:rPr>
                <w:rFonts w:cs="Times New Roman" w:ascii="Times New Roman" w:hAnsi="Times New Roman"/>
                <w:sz w:val="21"/>
                <w:u w:val="single"/>
              </w:rPr>
              <w:t>Asset Class</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Minimum</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Maximum</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Equities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90%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100%</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Cash and Equivalents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10%</w:t>
            </w:r>
          </w:p>
        </w:tc>
      </w:tr>
    </w:tbl>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Heading4"/>
        <w:ind w:hanging="0" w:start="0"/>
        <w:jc w:val="center"/>
        <w:rPr>
          <w:rFonts w:ascii="Times New Roman" w:hAnsi="Times New Roman" w:cs="Times New Roman"/>
          <w:sz w:val="21"/>
        </w:rPr>
      </w:pPr>
      <w:r>
        <w:rPr>
          <w:rFonts w:cs="Times New Roman" w:ascii="Times New Roman" w:hAnsi="Times New Roman"/>
          <w:sz w:val="21"/>
        </w:rPr>
        <w:t>Addendum to Investment Policy, Objectives, and Guidelines</w:t>
      </w:r>
    </w:p>
    <w:p>
      <w:pPr>
        <w:pStyle w:val="Normal"/>
        <w:jc w:val="center"/>
        <w:rPr>
          <w:rFonts w:ascii="Times New Roman" w:hAnsi="Times New Roman" w:cs="Times New Roman"/>
          <w:b/>
          <w:sz w:val="21"/>
        </w:rPr>
      </w:pPr>
      <w:r>
        <w:rPr>
          <w:rFonts w:cs="Times New Roman" w:ascii="Times New Roman" w:hAnsi="Times New Roman"/>
          <w:b/>
          <w:sz w:val="21"/>
        </w:rPr>
        <w:t>(Lazard Asset - International Equity)</w:t>
      </w:r>
    </w:p>
    <w:p>
      <w:pPr>
        <w:pStyle w:val="Normal"/>
        <w:rPr>
          <w:rFonts w:ascii="Times New Roman" w:hAnsi="Times New Roman" w:cs="Times New Roman"/>
          <w:b/>
          <w:sz w:val="21"/>
        </w:rPr>
      </w:pPr>
      <w:r>
        <w:rPr>
          <w:rFonts w:cs="Times New Roman" w:ascii="Times New Roman" w:hAnsi="Times New Roman"/>
          <w:b/>
          <w:sz w:val="21"/>
        </w:rPr>
      </w:r>
    </w:p>
    <w:p>
      <w:pPr>
        <w:pStyle w:val="Heading1"/>
        <w:rPr>
          <w:rFonts w:ascii="Times New Roman" w:hAnsi="Times New Roman" w:cs="Times New Roman"/>
          <w:sz w:val="21"/>
        </w:rPr>
      </w:pPr>
      <w:r>
        <w:rPr>
          <w:rFonts w:cs="Times New Roman" w:ascii="Times New Roman" w:hAnsi="Times New Roman"/>
          <w:sz w:val="21"/>
        </w:rPr>
        <w:t>Portfolio Strategy – International Equity Investments</w:t>
      </w:r>
    </w:p>
    <w:p>
      <w:pPr>
        <w:pStyle w:val="Normal"/>
        <w:rPr>
          <w:rFonts w:ascii="Times New Roman" w:hAnsi="Times New Roman" w:cs="Times New Roman"/>
          <w:sz w:val="21"/>
        </w:rPr>
      </w:pPr>
      <w:r>
        <w:rPr>
          <w:rFonts w:cs="Times New Roman" w:ascii="Times New Roman" w:hAnsi="Times New Roman"/>
          <w:sz w:val="21"/>
        </w:rPr>
      </w:r>
    </w:p>
    <w:p>
      <w:pPr>
        <w:pStyle w:val="Normal"/>
        <w:rPr/>
      </w:pPr>
      <w:r>
        <w:rPr>
          <w:rFonts w:cs="Times New Roman" w:ascii="Times New Roman" w:hAnsi="Times New Roman"/>
          <w:sz w:val="21"/>
        </w:rPr>
        <w:t>The investment objectives and guidelines for the assets managed by Lazard Asset Management</w:t>
      </w:r>
      <w:r>
        <w:rPr>
          <w:rFonts w:cs="Times New Roman" w:ascii="Times New Roman" w:hAnsi="Times New Roman"/>
          <w:b/>
          <w:sz w:val="21"/>
        </w:rPr>
        <w:t xml:space="preserve"> </w:t>
      </w:r>
      <w:r>
        <w:rPr>
          <w:rFonts w:cs="Times New Roman" w:ascii="Times New Roman" w:hAnsi="Times New Roman"/>
          <w:sz w:val="21"/>
        </w:rPr>
        <w:t>for The Greater Houston Community Foundation are defined in this document and the Statement of Investment Policy, Objectives, and Guidelines.  The policy items included in the investment policy statement are applicable for the entire Plan, but may not apply to each individual manager.  If a policy item in this addendum is in disagreement with a policy item in the investment policy statement, the item in this addendum shall apply.  The manager is instructed to incorporate these guidelines into their investment policy.</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Specific Investment Goals</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Over a three year period, as established by the Investment Committee, it is the goal of the Foundation for the assets managed by Lazard Asset Management</w:t>
      </w:r>
      <w:r>
        <w:rPr>
          <w:rFonts w:cs="Times New Roman" w:ascii="Times New Roman" w:hAnsi="Times New Roman"/>
          <w:b/>
          <w:sz w:val="21"/>
        </w:rPr>
        <w:t xml:space="preserve"> </w:t>
      </w:r>
      <w:r>
        <w:rPr>
          <w:rFonts w:cs="Times New Roman" w:ascii="Times New Roman" w:hAnsi="Times New Roman"/>
          <w:sz w:val="21"/>
        </w:rPr>
        <w:t>to meet or exceed net of fees:</w:t>
      </w:r>
    </w:p>
    <w:p>
      <w:pPr>
        <w:pStyle w:val="Normal"/>
        <w:ind w:start="720" w:end="0"/>
        <w:rPr>
          <w:rFonts w:ascii="Times New Roman" w:hAnsi="Times New Roman" w:cs="Times New Roman"/>
          <w:sz w:val="21"/>
        </w:rPr>
      </w:pPr>
      <w:r>
        <w:rPr>
          <w:rFonts w:cs="Times New Roman" w:ascii="Times New Roman" w:hAnsi="Times New Roman"/>
          <w:sz w:val="21"/>
        </w:rPr>
      </w:r>
    </w:p>
    <w:p>
      <w:pPr>
        <w:pStyle w:val="Normal"/>
        <w:ind w:start="720" w:end="0"/>
        <w:rPr>
          <w:rFonts w:ascii="Times New Roman" w:hAnsi="Times New Roman" w:cs="Times New Roman"/>
          <w:sz w:val="21"/>
        </w:rPr>
      </w:pPr>
      <w:r>
        <w:rPr>
          <w:rFonts w:cs="Times New Roman" w:ascii="Times New Roman" w:hAnsi="Times New Roman"/>
          <w:sz w:val="21"/>
        </w:rPr>
        <w:t>The return of the stock market as measured by the MS EAFE Index over a market cycle of 3 years but measured and evaluated quarterly.  Style consistency and relative performance will be evaluated quarterly for progress toward the longer-term goals.</w:t>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b/>
          <w:sz w:val="21"/>
        </w:rPr>
      </w:pPr>
      <w:r>
        <w:rPr>
          <w:rFonts w:cs="Times New Roman" w:ascii="Times New Roman" w:hAnsi="Times New Roman"/>
          <w:b/>
          <w:sz w:val="21"/>
        </w:rPr>
        <w:t>Volatility (Risk)</w:t>
      </w:r>
    </w:p>
    <w:p>
      <w:pPr>
        <w:pStyle w:val="Normal"/>
        <w:rPr>
          <w:rFonts w:ascii="Times New Roman" w:hAnsi="Times New Roman" w:cs="Times New Roman"/>
          <w:b/>
          <w:sz w:val="21"/>
        </w:rPr>
      </w:pPr>
      <w:r>
        <w:rPr>
          <w:rFonts w:cs="Times New Roman" w:ascii="Times New Roman" w:hAnsi="Times New Roman"/>
          <w:b/>
          <w:sz w:val="21"/>
        </w:rPr>
      </w:r>
    </w:p>
    <w:p>
      <w:pPr>
        <w:pStyle w:val="Normal"/>
        <w:rPr/>
      </w:pPr>
      <w:r>
        <w:rPr>
          <w:rFonts w:cs="Times New Roman" w:ascii="Times New Roman" w:hAnsi="Times New Roman"/>
          <w:sz w:val="21"/>
        </w:rPr>
        <w:t>Lazard Asset Management</w:t>
      </w:r>
      <w:r>
        <w:rPr>
          <w:rFonts w:cs="Times New Roman" w:ascii="Times New Roman" w:hAnsi="Times New Roman"/>
          <w:b/>
          <w:sz w:val="21"/>
        </w:rPr>
        <w:t xml:space="preserve"> </w:t>
      </w:r>
      <w:r>
        <w:rPr>
          <w:rFonts w:cs="Times New Roman" w:ascii="Times New Roman" w:hAnsi="Times New Roman"/>
          <w:sz w:val="21"/>
        </w:rPr>
        <w:t>is expected to meet its objectives with a level of risk consistent with the risk of the index stated above.</w:t>
      </w:r>
    </w:p>
    <w:p>
      <w:pPr>
        <w:pStyle w:val="Normal"/>
        <w:rPr>
          <w:rFonts w:ascii="Times New Roman" w:hAnsi="Times New Roman" w:cs="Times New Roman"/>
          <w:sz w:val="21"/>
        </w:rPr>
      </w:pPr>
      <w:r>
        <w:rPr>
          <w:rFonts w:cs="Times New Roman" w:ascii="Times New Roman" w:hAnsi="Times New Roman"/>
          <w:sz w:val="21"/>
        </w:rPr>
      </w:r>
    </w:p>
    <w:p>
      <w:pPr>
        <w:pStyle w:val="Normal"/>
        <w:ind w:hanging="360" w:start="360" w:end="0"/>
        <w:rPr>
          <w:rFonts w:ascii="Times New Roman" w:hAnsi="Times New Roman" w:cs="Times New Roman"/>
          <w:b/>
          <w:sz w:val="21"/>
        </w:rPr>
      </w:pPr>
      <w:r>
        <w:rPr>
          <w:rFonts w:cs="Times New Roman" w:ascii="Times New Roman" w:hAnsi="Times New Roman"/>
          <w:b/>
          <w:sz w:val="21"/>
        </w:rPr>
        <w:t>Asset Allocation Guidelines</w:t>
      </w:r>
    </w:p>
    <w:p>
      <w:pPr>
        <w:pStyle w:val="Normal"/>
        <w:ind w:hanging="360" w:start="360" w:end="0"/>
        <w:rPr>
          <w:rFonts w:ascii="Times New Roman" w:hAnsi="Times New Roman" w:cs="Times New Roman"/>
          <w:b/>
          <w:sz w:val="21"/>
        </w:rPr>
      </w:pPr>
      <w:r>
        <w:rPr>
          <w:rFonts w:cs="Times New Roman" w:ascii="Times New Roman" w:hAnsi="Times New Roman"/>
          <w:b/>
          <w:sz w:val="21"/>
        </w:rPr>
      </w:r>
    </w:p>
    <w:tbl>
      <w:tblPr>
        <w:tblW w:w="5770" w:type="dxa"/>
        <w:jc w:val="start"/>
        <w:tblInd w:w="1440" w:type="dxa"/>
        <w:tblLayout w:type="fixed"/>
        <w:tblCellMar>
          <w:top w:w="0" w:type="dxa"/>
          <w:start w:w="108" w:type="dxa"/>
          <w:bottom w:w="0" w:type="dxa"/>
          <w:end w:w="108" w:type="dxa"/>
        </w:tblCellMar>
      </w:tblPr>
      <w:tblGrid>
        <w:gridCol w:w="3250"/>
        <w:gridCol w:w="1260"/>
        <w:gridCol w:w="1260"/>
      </w:tblGrid>
      <w:tr>
        <w:trPr/>
        <w:tc>
          <w:tcPr>
            <w:tcW w:w="3250" w:type="dxa"/>
            <w:tcBorders/>
          </w:tcPr>
          <w:p>
            <w:pPr>
              <w:pStyle w:val="Normal"/>
              <w:ind w:hanging="504" w:start="504" w:end="0"/>
              <w:rPr>
                <w:rFonts w:ascii="Times New Roman" w:hAnsi="Times New Roman" w:cs="Times New Roman"/>
                <w:sz w:val="21"/>
                <w:u w:val="single"/>
              </w:rPr>
            </w:pPr>
            <w:r>
              <w:rPr>
                <w:rFonts w:cs="Times New Roman" w:ascii="Times New Roman" w:hAnsi="Times New Roman"/>
                <w:sz w:val="21"/>
                <w:u w:val="single"/>
              </w:rPr>
              <w:t>Asset Class</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Minimum</w:t>
            </w:r>
          </w:p>
        </w:tc>
        <w:tc>
          <w:tcPr>
            <w:tcW w:w="1260" w:type="dxa"/>
            <w:tcBorders/>
          </w:tcPr>
          <w:p>
            <w:pPr>
              <w:pStyle w:val="Normal"/>
              <w:ind w:hanging="504" w:start="504" w:end="0"/>
              <w:jc w:val="center"/>
              <w:rPr>
                <w:rFonts w:ascii="Times New Roman" w:hAnsi="Times New Roman" w:cs="Times New Roman"/>
                <w:sz w:val="21"/>
                <w:u w:val="single"/>
              </w:rPr>
            </w:pPr>
            <w:r>
              <w:rPr>
                <w:rFonts w:cs="Times New Roman" w:ascii="Times New Roman" w:hAnsi="Times New Roman"/>
                <w:sz w:val="21"/>
                <w:u w:val="single"/>
              </w:rPr>
              <w:t>Maximum</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Equities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90%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100%</w:t>
            </w:r>
          </w:p>
        </w:tc>
      </w:tr>
      <w:tr>
        <w:trPr/>
        <w:tc>
          <w:tcPr>
            <w:tcW w:w="3250" w:type="dxa"/>
            <w:tcBorders/>
          </w:tcPr>
          <w:p>
            <w:pPr>
              <w:pStyle w:val="Normal"/>
              <w:ind w:hanging="504" w:start="504" w:end="0"/>
              <w:rPr>
                <w:rFonts w:ascii="Times New Roman" w:hAnsi="Times New Roman" w:cs="Times New Roman"/>
                <w:sz w:val="21"/>
              </w:rPr>
            </w:pPr>
            <w:r>
              <w:rPr>
                <w:rFonts w:cs="Times New Roman" w:ascii="Times New Roman" w:hAnsi="Times New Roman"/>
                <w:sz w:val="21"/>
              </w:rPr>
              <w:t>Cash and Equivalents</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0%</w:t>
            </w:r>
          </w:p>
        </w:tc>
        <w:tc>
          <w:tcPr>
            <w:tcW w:w="1260" w:type="dxa"/>
            <w:tcBorders/>
          </w:tcPr>
          <w:p>
            <w:pPr>
              <w:pStyle w:val="Normal"/>
              <w:ind w:hanging="504" w:start="504" w:end="0"/>
              <w:jc w:val="center"/>
              <w:rPr>
                <w:rFonts w:ascii="Times New Roman" w:hAnsi="Times New Roman" w:cs="Times New Roman"/>
                <w:sz w:val="21"/>
              </w:rPr>
            </w:pPr>
            <w:r>
              <w:rPr>
                <w:rFonts w:cs="Times New Roman" w:ascii="Times New Roman" w:hAnsi="Times New Roman"/>
                <w:sz w:val="21"/>
              </w:rPr>
              <w:t>10%</w:t>
            </w:r>
          </w:p>
        </w:tc>
      </w:tr>
    </w:tbl>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r>
    </w:p>
    <w:p>
      <w:pPr>
        <w:pStyle w:val="Normal"/>
        <w:rPr>
          <w:rFonts w:ascii="Times New Roman" w:hAnsi="Times New Roman" w:cs="Times New Roman"/>
          <w:sz w:val="21"/>
        </w:rPr>
      </w:pPr>
      <w:r>
        <w:rPr>
          <w:rFonts w:cs="Times New Roman" w:ascii="Times New Roman" w:hAnsi="Times New Roman"/>
          <w:sz w:val="21"/>
        </w:rPr>
        <w:t xml:space="preserve"> </w:t>
      </w:r>
    </w:p>
    <w:p>
      <w:pPr>
        <w:pStyle w:val="Normal"/>
        <w:rPr>
          <w:rFonts w:ascii="Times New Roman" w:hAnsi="Times New Roman" w:cs="Times New Roman"/>
          <w:sz w:val="21"/>
        </w:rPr>
      </w:pPr>
      <w:r>
        <w:rPr>
          <w:rFonts w:cs="Times New Roman" w:ascii="Times New Roman" w:hAnsi="Times New Roman"/>
          <w:sz w:val="21"/>
        </w:rPr>
      </w:r>
    </w:p>
    <w:p>
      <w:pPr>
        <w:pStyle w:val="Normal"/>
        <w:tabs>
          <w:tab w:val="clear" w:pos="720"/>
          <w:tab w:val="left" w:pos="9810" w:leader="none"/>
        </w:tabs>
        <w:rPr>
          <w:rFonts w:ascii="Times New Roman" w:hAnsi="Times New Roman" w:cs="Times New Roman"/>
          <w:sz w:val="21"/>
        </w:rPr>
      </w:pPr>
      <w:r>
        <w:rPr>
          <w:rFonts w:cs="Times New Roman" w:ascii="Times New Roman" w:hAnsi="Times New Roman"/>
          <w:sz w:val="21"/>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460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8"/>
      </w:rPr>
    </w:pPr>
    <w:r>
      <w:rPr>
        <w:b/>
        <w:sz w:val="28"/>
      </w:rPr>
      <w:t>Investment Policy Statement</w:t>
    </w:r>
  </w:p>
  <w:p>
    <w:pPr>
      <w:pStyle w:val="Normal"/>
      <w:jc w:val="center"/>
      <w:rPr>
        <w:b/>
        <w:sz w:val="28"/>
      </w:rPr>
    </w:pPr>
    <w:r>
      <w:rPr>
        <w:b/>
        <w:sz w:val="28"/>
      </w:rPr>
      <w:t>Statement of Investment Policy, Objectives, and Guidelines</w:t>
    </w:r>
  </w:p>
  <w:p>
    <w:pPr>
      <w:pStyle w:val="Header"/>
      <w:jc w:val="center"/>
      <w:rPr>
        <w:b/>
        <w:sz w:val="28"/>
      </w:rPr>
    </w:pPr>
    <w:r>
      <w:rPr>
        <w:b/>
        <w:sz w:val="28"/>
      </w:rPr>
      <w:t>The Greater Houston Community Foundation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5"/>
      <w:numFmt w:val="decimal"/>
      <w:lvlText w:val="%1."/>
      <w:lvlJc w:val="start"/>
      <w:pPr>
        <w:tabs>
          <w:tab w:val="num" w:pos="726"/>
        </w:tabs>
        <w:ind w:start="726" w:hanging="51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6"/>
        </w:tabs>
        <w:ind w:start="726" w:hanging="51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rPr/>
    </w:lvl>
  </w:abstractNum>
  <w:abstractNum w:abstractNumId="9">
    <w:lvl w:ilvl="0">
      <w:start w:val="2"/>
      <w:numFmt w:val="decimal"/>
      <w:lvlText w:val="%1."/>
      <w:lvlJc w:val="start"/>
      <w:pPr>
        <w:tabs>
          <w:tab w:val="num" w:pos="720"/>
        </w:tabs>
        <w:ind w:start="72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abstractNum>
  <w:abstractNum w:abstractNumId="13">
    <w:lvl w:ilvl="0">
      <w:start w:val="1"/>
      <w:numFmt w:val="decimal"/>
      <w:lvlText w:val="%1."/>
      <w:lvlJc w:val="start"/>
      <w:pPr>
        <w:tabs>
          <w:tab w:val="num" w:pos="726"/>
        </w:tabs>
        <w:ind w:start="726" w:hanging="51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Next w:val="true"/>
      <w:keepLines/>
      <w:widowControl/>
      <w:bidi w:val="0"/>
      <w:jc w:val="both"/>
    </w:pPr>
    <w:rPr>
      <w:rFonts w:ascii="CG Times (W1);Times New Roman" w:hAnsi="CG Times (W1);Times New Roman" w:eastAsia="Times New Roman" w:cs="CG Times (W1);Times New Roman"/>
      <w:color w:val="auto"/>
      <w:sz w:val="24"/>
      <w:szCs w:val="20"/>
      <w:lang w:val="en-US" w:eastAsia="zh-CN" w:bidi="hi-IN"/>
    </w:rPr>
  </w:style>
  <w:style w:type="paragraph" w:styleId="Heading1">
    <w:name w:val="heading 1"/>
    <w:basedOn w:val="Normal"/>
    <w:next w:val="Normal"/>
    <w:qFormat/>
    <w:pPr>
      <w:numPr>
        <w:ilvl w:val="0"/>
        <w:numId w:val="1"/>
      </w:numPr>
      <w:ind w:firstLine="720" w:start="0" w:end="0"/>
      <w:jc w:val="center"/>
      <w:outlineLvl w:val="0"/>
    </w:pPr>
    <w:rPr>
      <w:b/>
    </w:rPr>
  </w:style>
  <w:style w:type="paragraph" w:styleId="Heading2">
    <w:name w:val="heading 2"/>
    <w:basedOn w:val="Normal"/>
    <w:next w:val="Normal"/>
    <w:qFormat/>
    <w:pPr>
      <w:numPr>
        <w:ilvl w:val="1"/>
        <w:numId w:val="1"/>
      </w:numPr>
      <w:pBdr>
        <w:bottom w:val="double" w:sz="12" w:space="1" w:color="000000"/>
      </w:pBdr>
      <w:jc w:val="center"/>
      <w:outlineLvl w:val="1"/>
    </w:pPr>
    <w:rPr>
      <w:b/>
    </w:rPr>
  </w:style>
  <w:style w:type="paragraph" w:styleId="Heading3">
    <w:name w:val="heading 3"/>
    <w:basedOn w:val="Normal"/>
    <w:next w:val="Normal"/>
    <w:qFormat/>
    <w:pPr>
      <w:numPr>
        <w:ilvl w:val="2"/>
        <w:numId w:val="1"/>
      </w:numPr>
      <w:outlineLvl w:val="2"/>
    </w:pPr>
    <w:rPr>
      <w:b/>
    </w:rPr>
  </w:style>
  <w:style w:type="paragraph" w:styleId="Heading4">
    <w:name w:val="heading 4"/>
    <w:basedOn w:val="Normal"/>
    <w:next w:val="Normal"/>
    <w:qFormat/>
    <w:pPr>
      <w:numPr>
        <w:ilvl w:val="3"/>
        <w:numId w:val="1"/>
      </w:numPr>
      <w:jc w:val="start"/>
      <w:outlineLvl w:val="3"/>
    </w:pPr>
    <w:rPr>
      <w:b/>
      <w:sz w:val="20"/>
    </w:rPr>
  </w:style>
  <w:style w:type="paragraph" w:styleId="Heading5">
    <w:name w:val="heading 5"/>
    <w:basedOn w:val="Normal"/>
    <w:next w:val="Normal"/>
    <w:qFormat/>
    <w:pPr>
      <w:numPr>
        <w:ilvl w:val="4"/>
        <w:numId w:val="1"/>
      </w:numPr>
      <w:outlineLvl w:val="4"/>
    </w:pPr>
    <w:rPr>
      <w:b/>
      <w:u w:val="single"/>
    </w:rPr>
  </w:style>
  <w:style w:type="paragraph" w:styleId="Heading6">
    <w:name w:val="heading 6"/>
    <w:basedOn w:val="Normal"/>
    <w:next w:val="Normal"/>
    <w:qFormat/>
    <w:pPr>
      <w:numPr>
        <w:ilvl w:val="5"/>
        <w:numId w:val="1"/>
      </w:numPr>
      <w:jc w:val="center"/>
      <w:outlineLvl w:val="5"/>
    </w:pPr>
    <w:rPr>
      <w:b/>
      <w:u w:val="single"/>
    </w:rPr>
  </w:style>
  <w:style w:type="paragraph" w:styleId="Heading7">
    <w:name w:val="heading 7"/>
    <w:basedOn w:val="Normal"/>
    <w:next w:val="Normal"/>
    <w:qFormat/>
    <w:pPr>
      <w:numPr>
        <w:ilvl w:val="6"/>
        <w:numId w:val="1"/>
      </w:numPr>
      <w:outlineLvl w:val="6"/>
    </w:pPr>
    <w:rPr>
      <w:b/>
      <w:sz w:val="22"/>
    </w:rPr>
  </w:style>
  <w:style w:type="paragraph" w:styleId="Heading8">
    <w:name w:val="heading 8"/>
    <w:basedOn w:val="Normal"/>
    <w:next w:val="Normal"/>
    <w:qFormat/>
    <w:pPr>
      <w:numPr>
        <w:ilvl w:val="7"/>
        <w:numId w:val="1"/>
      </w:numPr>
      <w:ind w:hanging="504" w:start="504" w:end="0"/>
      <w:jc w:val="center"/>
      <w:outlineLvl w:val="7"/>
    </w:pPr>
    <w:rPr>
      <w:sz w:val="20"/>
      <w:u w:val="single"/>
    </w:rPr>
  </w:style>
  <w:style w:type="paragraph" w:styleId="Heading9">
    <w:name w:val="heading 9"/>
    <w:basedOn w:val="Normal"/>
    <w:next w:val="Normal"/>
    <w:qFormat/>
    <w:pPr>
      <w:numPr>
        <w:ilvl w:val="8"/>
        <w:numId w:val="1"/>
      </w:numPr>
      <w:jc w:val="center"/>
      <w:outlineLvl w:val="8"/>
    </w:pPr>
    <w:rPr>
      <w:b/>
      <w:sz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irstindent">
    <w:name w:val="first indent"/>
    <w:basedOn w:val="Normal"/>
    <w:qFormat/>
    <w:pPr>
      <w:ind w:hanging="0" w:start="216" w:end="0"/>
    </w:pPr>
    <w:rPr/>
  </w:style>
  <w:style w:type="paragraph" w:styleId="line">
    <w:name w:val="line"/>
    <w:basedOn w:val="Normal"/>
    <w:qFormat/>
    <w:pPr>
      <w:pBdr>
        <w:bottom w:val="single" w:sz="6" w:space="1" w:color="000000"/>
      </w:pBd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504" w:start="720" w:end="0"/>
    </w:pPr>
    <w:rPr/>
  </w:style>
  <w:style w:type="paragraph" w:styleId="BodyTextIndent2">
    <w:name w:val="Body Text Indent 2"/>
    <w:basedOn w:val="Normal"/>
    <w:qFormat/>
    <w:pPr>
      <w:ind w:hanging="504" w:start="720" w:end="0"/>
    </w:pPr>
    <w:rPr>
      <w:u w:val="single"/>
    </w:rPr>
  </w:style>
  <w:style w:type="paragraph" w:styleId="BodyText2">
    <w:name w:val="Body Text 2"/>
    <w:basedOn w:val="Normal"/>
    <w:qFormat/>
    <w:pPr>
      <w:jc w:val="start"/>
    </w:pPr>
    <w:rPr>
      <w:sz w:val="20"/>
    </w:rPr>
  </w:style>
  <w:style w:type="paragraph" w:styleId="BodyTextIndent3">
    <w:name w:val="Body Text Indent 3"/>
    <w:basedOn w:val="Normal"/>
    <w:qFormat/>
    <w:pPr>
      <w:ind w:hanging="360" w:start="1440" w:end="0"/>
      <w:jc w:val="start"/>
    </w:pPr>
    <w:rPr/>
  </w:style>
  <w:style w:type="paragraph" w:styleId="Header">
    <w:name w:val="header"/>
    <w:basedOn w:val="Normal"/>
    <w:pPr>
      <w:tabs>
        <w:tab w:val="clear" w:pos="720"/>
        <w:tab w:val="center" w:pos="4320" w:leader="none"/>
        <w:tab w:val="right" w:pos="8640" w:leader="none"/>
      </w:tabs>
    </w:pPr>
    <w:rPr>
      <w:rFonts w:ascii="CG Times" w:hAnsi="CG Times" w:cs="CG Times"/>
    </w:rPr>
  </w:style>
  <w:style w:type="paragraph" w:styleId="BodyText3">
    <w:name w:val="Body Text 3"/>
    <w:basedOn w:val="Normal"/>
    <w:qFormat/>
    <w:pPr>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Ips3</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2001-10-22T10:56:00Z</dcterms:created>
  <dc:creator>Authorized Gateway 2000 Licensee</dc:creator>
  <dc:description/>
  <dc:language>en-CA</dc:language>
  <cp:lastModifiedBy>Bob Paddock</cp:lastModifiedBy>
  <cp:lastPrinted>2000-01-05T13:56:00Z</cp:lastPrinted>
  <dcterms:modified xsi:type="dcterms:W3CDTF">2001-10-22T10:56:00Z</dcterms:modified>
  <cp:revision>2</cp:revision>
  <dc:subject/>
  <dc:title>Text to IPS Development System</dc:title>
</cp:coreProperties>
</file>