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6,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>Invasion Energy Inc. (“Invasion”) was formed to acquire properties from Northstar Energy Corp. (“Northstar”).  The management of Invasion is comprised mainly of current Strega Energy Inc. (“Strega”) management.  Strega is a private upstream oil and gas company formed in 1997.  Strega has pursued a strategy of purchasing and then reselling underperforming and undervalued assets.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>The purchase of Northstar properties is a 100% working interest in 60 producing wells, 2 plants and proved undeveloped locations which are the assets of the new company, Invasion Energy.  These properties are located in the central are of Northern Alberta.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napToGrid w:val="false"/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LEGAL NAME REPRESENTED BY STOCK: </w:t>
      </w:r>
      <w:r>
        <w:rPr/>
        <w:t>Invasion Energy Inc.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INVESTMENT: </w:t>
      </w:r>
      <w:r>
        <w:rPr/>
        <w:t>Class B Common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U.S. STRIKE PRICE:  </w:t>
      </w:r>
      <w:r>
        <w:rPr/>
        <w:t>$.8971015/share ($5,644,007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  <w:r>
        <w:rPr/>
        <w:t>6,291,380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/mnt/main-storage/datasets/enron-docs/doc/Invasion_Energy-ede753aa2cf117b1fcddc1fa60757a70ea8691032dfdd054a3854f9e8c5c6c85.doc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/mnt/main-storage/datasets/enron-docs/doc/Invasion_Energy-ede753aa2cf117b1fcddc1fa60757a70ea8691032dfdd054a3854f9e8c5c6c85.doc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2000-09-06T13:08:00Z</dcterms:created>
  <dc:creator>mruane</dc:creator>
  <dc:description>MR: 9-20-99 added tax signoff</dc:description>
  <dc:language>en-CA</dc:language>
  <cp:lastModifiedBy>brian schwertner</cp:lastModifiedBy>
  <cp:lastPrinted>2000-09-08T17:47:00Z</cp:lastPrinted>
  <dcterms:modified xsi:type="dcterms:W3CDTF">2000-09-11T15:30:00Z</dcterms:modified>
  <cp:revision>14</cp:revision>
  <dc:subject/>
  <dc:title>ENRON RISK ASSESSMENT AND CONTROL</dc:title>
</cp:coreProperties>
</file>