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pPr>
      <w:r>
        <w:rPr>
          <w:rFonts w:eastAsia="Helv" w:cs="Helv" w:ascii="Helv" w:hAnsi="Helv"/>
          <w:color w:val="000000"/>
          <w:sz w:val="24"/>
          <w:szCs w:val="24"/>
        </w:rPr>
        <w:t xml:space="preserve">One of our main objectives in writing </w:t>
      </w:r>
      <w:r>
        <w:rPr>
          <w:rFonts w:eastAsia="Helv" w:cs="Helv" w:ascii="Helv" w:hAnsi="Helv"/>
          <w:i/>
          <w:iCs/>
          <w:color w:val="000000"/>
          <w:sz w:val="24"/>
          <w:szCs w:val="24"/>
        </w:rPr>
        <w:t>Energy Derivatives: Pricing and Risk Management</w:t>
      </w:r>
      <w:r>
        <w:rPr>
          <w:rFonts w:eastAsia="Helv" w:cs="Helv" w:ascii="Helv" w:hAnsi="Helv"/>
          <w:color w:val="000000"/>
          <w:sz w:val="24"/>
          <w:szCs w:val="24"/>
        </w:rPr>
        <w:t xml:space="preserve"> has been to bring together as many of the various approaches for the pricing and risk management </w:t>
      </w:r>
      <w:r>
        <w:rPr>
          <w:rFonts w:eastAsia="Helv" w:cs="Helv" w:ascii="Helv" w:hAnsi="Helv"/>
          <w:color w:val="FF00FF"/>
          <w:sz w:val="24"/>
          <w:szCs w:val="24"/>
        </w:rPr>
        <w:t>of</w:t>
      </w:r>
      <w:r>
        <w:rPr>
          <w:rFonts w:eastAsia="Helv" w:cs="Helv" w:ascii="Helv" w:hAnsi="Helv"/>
          <w:color w:val="000000"/>
          <w:sz w:val="24"/>
          <w:szCs w:val="24"/>
        </w:rPr>
        <w:t xml:space="preserve"> energy derivatives as possible, to discuss in-depth the models, and to show how they relate to each other.  In this way we hope to help the reader to analyse the different models, price a wide range of energy derivatives, or to build a risk management system which uses a consistent modelling framework.  We believe that for practitioners this last point is very important and we continue to stress in our articles and presentations the dangers of </w:t>
      </w:r>
      <w:r>
        <w:rPr>
          <w:rFonts w:eastAsia="Helv" w:cs="Helv" w:ascii="Helv" w:hAnsi="Helv"/>
          <w:color w:val="FF00FF"/>
          <w:sz w:val="24"/>
          <w:szCs w:val="24"/>
        </w:rPr>
        <w:t>using</w:t>
      </w:r>
      <w:r>
        <w:rPr>
          <w:rFonts w:eastAsia="Helv" w:cs="Helv" w:ascii="Helv" w:hAnsi="Helv"/>
          <w:color w:val="000000"/>
          <w:sz w:val="24"/>
          <w:szCs w:val="24"/>
        </w:rPr>
        <w:t xml:space="preserve"> flawed risk management </w:t>
      </w:r>
      <w:r>
        <w:rPr>
          <w:rFonts w:eastAsia="Helv" w:cs="Helv" w:ascii="Helv" w:hAnsi="Helv"/>
          <w:color w:val="FF00FF"/>
          <w:sz w:val="24"/>
          <w:szCs w:val="24"/>
        </w:rPr>
        <w:t>and pricing systems</w:t>
      </w:r>
      <w:r>
        <w:rPr>
          <w:rFonts w:eastAsia="Helv" w:cs="Helv" w:ascii="Helv" w:hAnsi="Helv"/>
          <w:color w:val="000000"/>
          <w:sz w:val="24"/>
          <w:szCs w:val="24"/>
        </w:rPr>
        <w:t xml:space="preserve">. </w:t>
      </w:r>
      <w:r>
        <w:rPr>
          <w:rFonts w:eastAsia="Helv" w:cs="Helv" w:ascii="Helv" w:hAnsi="Helv"/>
          <w:color w:val="FF00FF"/>
          <w:sz w:val="24"/>
          <w:szCs w:val="24"/>
        </w:rPr>
        <w:t xml:space="preserve">Using ad-hoc and inconsistent models for different instruments and markets gives arbitrage opportunities to your competitors </w:t>
      </w:r>
      <w:r>
        <w:rPr>
          <w:rFonts w:eastAsia="Helv" w:cs="Helv" w:ascii="Helv" w:hAnsi="Helv"/>
          <w:color w:val="000000"/>
          <w:sz w:val="24"/>
          <w:szCs w:val="24"/>
        </w:rPr>
        <w:t xml:space="preserve">(see also OTHERS WHO PROPOSE CONSISTENT MODELS?).  However, it is not our wish to concentrate on one particular model or models, </w:t>
      </w:r>
      <w:r>
        <w:rPr>
          <w:rFonts w:eastAsia="Helv" w:cs="Helv" w:ascii="Helv" w:hAnsi="Helv"/>
          <w:color w:val="FF00FF"/>
          <w:sz w:val="24"/>
          <w:szCs w:val="24"/>
        </w:rPr>
        <w:t>to</w:t>
      </w:r>
      <w:r>
        <w:rPr>
          <w:rFonts w:eastAsia="Helv" w:cs="Helv" w:ascii="Helv" w:hAnsi="Helv"/>
          <w:color w:val="000000"/>
          <w:sz w:val="24"/>
          <w:szCs w:val="24"/>
        </w:rPr>
        <w:t xml:space="preserve"> the exclusion of the others because we believe that the choice should rest with the user  (although it will probably be clear from our discussions the model(s) we prefer).  We therefore try and give as clear account as possible of the advantage and disadvantages of all the models so that the reader can make an informed choice as to the models which best suit their needs.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pPr>
      <w:r>
        <w:rPr>
          <w:rFonts w:eastAsia="Helv" w:cs="Helv" w:ascii="Helv" w:hAnsi="Helv"/>
          <w:color w:val="000000"/>
          <w:sz w:val="24"/>
          <w:szCs w:val="24"/>
        </w:rPr>
        <w:t>In order to meet our objectives the book is divided into 11 chapters.   In chapter 1 we give an overview of the fundamental princip</w:t>
      </w:r>
      <w:r>
        <w:rPr>
          <w:rFonts w:eastAsia="Helv" w:cs="Helv" w:ascii="Helv" w:hAnsi="Helv"/>
          <w:color w:val="FF00FF"/>
          <w:sz w:val="24"/>
          <w:szCs w:val="24"/>
        </w:rPr>
        <w:t>les</w:t>
      </w:r>
      <w:r>
        <w:rPr>
          <w:rFonts w:eastAsia="Helv" w:cs="Helv" w:ascii="Helv" w:hAnsi="Helv"/>
          <w:color w:val="000000"/>
          <w:sz w:val="24"/>
          <w:szCs w:val="24"/>
        </w:rPr>
        <w:t xml:space="preserve"> needed to model and price energy derivatives which will underpin the remainder of the book.  In addition to introducing the techniques that underlie the Black-Scholes modelling framework we outline the numerical techniques of trinomial trees and Monte Carlo simulation for derivative pricing, which are used throughout the book.</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In Chapter 2 we discuss the analysis of spot energy prices.  As well as analysing empirical price movements we propose a number of processes that can be used to model the prices.   We look at the well-know process of Geometric Brownian Motion as well as mean reversion, stochastic volatility and jump processes, discussing each and showing how they can be simulated and their parameters estimated.</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Chapter 3, written by Vince  Kaminski, Grant Masson and Ronnie Chahal of Enron Corp., discusses volatility  estimation in energy commodity markets.   This chapter builds on the previous one.  It examines in detail the methods,  merits and pitfalls of the volatility estimation process assuming different  pricing models introduced in chapter 2.   Examples from crude, gas, and electricity markets are used to illustrate  the technical and interpretative aspects of calculating volatility.</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Chapter 4 examines forward curves  in the energy markets.  Although  such curves are well understood and straight-forward in the most financial  markets, the difficulty of storage in many energy markets leads to less well  defined curves.  In this chapter we  describe forward price bounds for energy prices and the building of forward  curves from market instruments.  We  outline the three main approaches which have been applied to building forward  curves in energy markets; the arbitrage approach, the econometric approach, and  deriving analytical values by modelling underlying stochastic factors.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Chapter 5 presents an overview of  structures found in the energy derivative markets and discusses their uses.  Examples of products analysed in this  chapter include a variety of swaps, caps, floors and collars, as well as energy  swaptions, compound options, Asian options, barrier options, lookback options,  and ladder options.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Chapter 6 investigates single and  multi-factor models of the energy spot price and the pricing of some standard  energy derivatives.  Closed form  solutions for forward prices, forward volatilities, and European option prices  both on the spot and forwards are derived and presented for all the models in  this chapter including a three factor, stochastic convenience yield and interest  rate model.</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pPr>
      <w:r>
        <w:rPr>
          <w:rFonts w:eastAsia="Helv" w:cs="Helv" w:ascii="Helv" w:hAnsi="Helv"/>
          <w:color w:val="000000"/>
          <w:sz w:val="24"/>
          <w:szCs w:val="24"/>
        </w:rPr>
        <w:t xml:space="preserve">Chapter 7 shows how the prices of  path dependent and American style options can be evaluated for the models in  Chapter 6.  Simulation schemes are  developed for the evaluation of European style options and applied to a variety  of path dependent options.  In order  to price options which incorporate early exercise opportunities, a trinomial  tree </w:t>
      </w:r>
      <w:r>
        <w:rPr>
          <w:rFonts w:eastAsia="Helv" w:cs="Helv" w:ascii="Helv" w:hAnsi="Helv"/>
          <w:color w:val="FF00FF"/>
          <w:sz w:val="24"/>
          <w:szCs w:val="24"/>
        </w:rPr>
        <w:t>approach</w:t>
      </w:r>
      <w:r>
        <w:rPr>
          <w:rFonts w:eastAsia="Helv" w:cs="Helv" w:ascii="Helv" w:hAnsi="Helv"/>
          <w:color w:val="000000"/>
          <w:sz w:val="24"/>
          <w:szCs w:val="24"/>
        </w:rPr>
        <w:t xml:space="preserve"> is developed.  This tree  is built to be consistent with the observed forward curve and can be used to  price exotic as well as standard European and American style options.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pPr>
      <w:r>
        <w:rPr>
          <w:rFonts w:eastAsia="Helv" w:cs="Helv" w:ascii="Helv" w:hAnsi="Helv"/>
          <w:color w:val="000000"/>
          <w:sz w:val="24"/>
          <w:szCs w:val="24"/>
        </w:rPr>
        <w:t xml:space="preserve">Chapter 8 describes a methodology  for valuing energy options based on modelling the whole of the market observed  forward curve.  The approach results  in a multi-factor model that is able to capture </w:t>
      </w:r>
      <w:r>
        <w:rPr>
          <w:rFonts w:eastAsia="Helv" w:cs="Helv" w:ascii="Helv" w:hAnsi="Helv"/>
          <w:color w:val="FF00FF"/>
          <w:sz w:val="24"/>
          <w:szCs w:val="24"/>
        </w:rPr>
        <w:t>realistically</w:t>
      </w:r>
      <w:r>
        <w:rPr>
          <w:rFonts w:eastAsia="Helv" w:cs="Helv" w:ascii="Helv" w:hAnsi="Helv"/>
          <w:color w:val="000000"/>
          <w:sz w:val="24"/>
          <w:szCs w:val="24"/>
        </w:rPr>
        <w:t xml:space="preserve"> the evolution of a  wide range of energy forward curves.   The user defined volatility structures can be of an extremely general  form.  Closed-form solutions are  developed for pricing standard European options, and efficient Monte Carlo  schemes are presented for pricing exotic options.  The chapter closes with a discussion of  the valuation of American style options.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Chapter 9 focuses on the risk  management of energy derivative positions.   In this chapter we discuss the management of price risk for institutions  that trade options or other derivatives and who are then faced with the problem  of managing the risk through time.   We begin with delta hedging a portfolio containing derivatives and look  at extensions to gamma hedging – illustrating the techniques using both spot and  forward curve models.  The general  model presented in Chapter 8 is ideally suited to multi-factor hedging of a  portfolio of energy derivatives and this is also discussed.</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Chapter 10 examines the key risk  management concept of Value at Risk (VaR) applied to portfolios containing  energy derivative products.  After  discussing the concept of the measure, we look at how the key inputs  (volatilities, covariances, correlations, etc) can be estimated.  We then compare the fours major  methodologies for computing VaR; Delta, Delta-gamma, historical simulation and  Monte-Carlo simulation, applying each to the same portfolio of energy  options.  In this chapter we also  look at testing the VaR estimates for various underlying energy market  variables.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pPr>
      <w:r>
        <w:rPr>
          <w:rFonts w:eastAsia="Helv" w:cs="Helv" w:ascii="Helv" w:hAnsi="Helv"/>
          <w:color w:val="000000"/>
          <w:sz w:val="24"/>
          <w:szCs w:val="24"/>
        </w:rPr>
        <w:t xml:space="preserve">Finally, in Chapter 11 we review  modelling approaches to credit risk.   We look in detail at two quite different approaches, </w:t>
      </w:r>
      <w:r>
        <w:rPr>
          <w:rFonts w:eastAsia="Helv" w:cs="Helv" w:ascii="Helv" w:hAnsi="Helv"/>
          <w:i/>
          <w:iCs/>
          <w:color w:val="000000"/>
          <w:sz w:val="24"/>
          <w:szCs w:val="24"/>
        </w:rPr>
        <w:t>CreditMetrics</w:t>
      </w:r>
      <w:r>
        <w:rPr>
          <w:rFonts w:eastAsia="Helv" w:cs="Helv" w:ascii="Helv" w:hAnsi="Helv"/>
          <w:color w:val="000000"/>
          <w:sz w:val="24"/>
          <w:szCs w:val="24"/>
        </w:rPr>
        <w:t xml:space="preserve"> (J. P. Morgan (1997)) and  </w:t>
      </w:r>
      <w:r>
        <w:rPr>
          <w:rFonts w:eastAsia="Helv" w:cs="Helv" w:ascii="Helv" w:hAnsi="Helv"/>
          <w:i/>
          <w:iCs/>
          <w:color w:val="000000"/>
          <w:sz w:val="24"/>
          <w:szCs w:val="24"/>
        </w:rPr>
        <w:t>CreditRisk+</w:t>
      </w:r>
      <w:r>
        <w:rPr>
          <w:rFonts w:eastAsia="Helv" w:cs="Helv" w:ascii="Helv" w:hAnsi="Helv"/>
          <w:color w:val="000000"/>
          <w:sz w:val="24"/>
          <w:szCs w:val="24"/>
        </w:rPr>
        <w:t xml:space="preserve"> (Credit Suisse Financial  Products (1997)) for which detailed information is publicly available.  Together</w:t>
      </w:r>
      <w:r>
        <w:rPr>
          <w:rFonts w:eastAsia="Helv" w:cs="Helv" w:ascii="Helv" w:hAnsi="Helv"/>
          <w:color w:val="FF00FF"/>
          <w:sz w:val="24"/>
          <w:szCs w:val="24"/>
        </w:rPr>
        <w:t>,</w:t>
      </w:r>
      <w:r>
        <w:rPr>
          <w:rFonts w:eastAsia="Helv" w:cs="Helv" w:ascii="Helv" w:hAnsi="Helv"/>
          <w:color w:val="000000"/>
          <w:sz w:val="24"/>
          <w:szCs w:val="24"/>
        </w:rPr>
        <w:t xml:space="preserve"> these provide an extensive set  of tools with which to measure credit risk.  We present numerical examples of  applying these techniques to energy derivatives.</w:t>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r>
    </w:p>
    <w:p>
      <w:pPr>
        <w:pStyle w:val="Normal"/>
        <w:spacing w:lineRule="atLeast" w:line="240"/>
        <w:jc w:val="both"/>
        <w:rPr>
          <w:rFonts w:ascii="Helv" w:hAnsi="Helv" w:eastAsia="Helv" w:cs="Helv"/>
          <w:color w:val="000000"/>
          <w:sz w:val="24"/>
          <w:szCs w:val="24"/>
        </w:rPr>
      </w:pPr>
      <w:r>
        <w:rPr>
          <w:rFonts w:eastAsia="Helv" w:cs="Helv" w:ascii="Helv" w:hAnsi="Helv"/>
          <w:color w:val="000000"/>
          <w:sz w:val="24"/>
          <w:szCs w:val="24"/>
        </w:rPr>
        <w:t> </w:t>
      </w:r>
    </w:p>
    <w:p>
      <w:pPr>
        <w:pStyle w:val="Normal"/>
        <w:jc w:val="both"/>
        <w:rPr>
          <w:rFonts w:ascii="Helv" w:hAnsi="Helv" w:eastAsia="Helv" w:cs="Helv"/>
          <w:color w:val="000000"/>
          <w:sz w:val="24"/>
          <w:szCs w:val="24"/>
        </w:rPr>
      </w:pPr>
      <w:r>
        <w:rPr>
          <w:rFonts w:eastAsia="Helv" w:cs="Helv" w:ascii="Helv" w:hAnsi="Helv"/>
          <w:color w:val="000000"/>
          <w:sz w:val="24"/>
          <w:szCs w:val="24"/>
        </w:rPr>
        <w:t>Before  we begin we stress that the models and methods we present in this book are tools  which should be used with the benefit of an understanding of how both the ‘tool’  and the market works.  The  techniques we describe are certainly not “magic wands” which can be waved at  data and risk management problems to provide instant and perfect solutions.  To quote from the RiskMetrics Technical  Document “… no amount of sophisticated analytics will replace experience and  professional judgement in managing risk.”.   However, the right tools, correctly used make the job a lot  easier!</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Helv">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2000-08-02T10:42:00Z</dcterms:created>
  <dc:creator>vkamins</dc:creator>
  <dc:description/>
  <dc:language>en-CA</dc:language>
  <cp:lastModifiedBy>vkamins</cp:lastModifiedBy>
  <dcterms:modified xsi:type="dcterms:W3CDTF">2000-08-02T10:42:00Z</dcterms:modified>
  <cp:revision>1</cp:revision>
  <dc:subject/>
  <dc:title>One of our main objectives in writing Energy Derivatives: Pricing and Risk Management has been to bring together as many of the various approaches for the pricing and risk management of energy derivatives as possible, to discuss in-depth the models, and </dc:title>
</cp:coreProperties>
</file>