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w:t>
      </w:r>
    </w:p>
    <w:p>
      <w:pPr>
        <w:pStyle w:val="Normal"/>
        <w:jc w:val="center"/>
        <w:rPr>
          <w:b/>
          <w:bCs/>
        </w:rPr>
      </w:pPr>
      <w:r>
        <w:rPr>
          <w:b/>
          <w:bCs/>
        </w:rPr>
        <w:t>UNITED STATES OF AMERICA</w:t>
      </w:r>
    </w:p>
    <w:p>
      <w:pPr>
        <w:pStyle w:val="Heading1"/>
        <w:ind w:hanging="0" w:start="0"/>
        <w:rPr/>
      </w:pPr>
      <w:r>
        <w:rPr/>
        <w:t>FEDERAL ENERGY REGULATORY COMMISSION</w:t>
      </w:r>
    </w:p>
    <w:p>
      <w:pPr>
        <w:pStyle w:val="Normal"/>
        <w:jc w:val="center"/>
        <w:rPr>
          <w:b/>
          <w:bCs/>
        </w:rPr>
      </w:pPr>
      <w:r>
        <w:rPr>
          <w:b/>
          <w:bCs/>
        </w:rPr>
      </w:r>
    </w:p>
    <w:p>
      <w:pPr>
        <w:pStyle w:val="Normal"/>
        <w:jc w:val="both"/>
        <w:rPr>
          <w:b/>
          <w:bCs/>
        </w:rPr>
      </w:pPr>
      <w:r>
        <w:rPr>
          <w:b/>
          <w:bCs/>
        </w:rPr>
      </w:r>
    </w:p>
    <w:p>
      <w:pPr>
        <w:pStyle w:val="Heading2"/>
        <w:ind w:hanging="0" w:start="0"/>
        <w:rPr/>
      </w:pPr>
      <w:r>
        <w:rPr/>
        <w:t>Standards For Business Practices</w:t>
        <w:tab/>
        <w:tab/>
        <w:t>}</w:t>
        <w:tab/>
        <w:tab/>
        <w:tab/>
        <w:t>Docket No. RM96-1-019</w:t>
      </w:r>
    </w:p>
    <w:p>
      <w:pPr>
        <w:pStyle w:val="Heading3"/>
        <w:ind w:start="0" w:end="0"/>
        <w:rPr/>
      </w:pPr>
      <w:r>
        <w:rPr/>
        <w:t>Of Interstate Natural Gas Pipelines</w:t>
        <w:tab/>
        <w:t>}</w:t>
      </w:r>
    </w:p>
    <w:p>
      <w:pPr>
        <w:pStyle w:val="Normal"/>
        <w:rPr/>
      </w:pPr>
      <w:r>
        <w:rPr/>
        <w:tab/>
        <w:tab/>
        <w:tab/>
        <w:tab/>
        <w:tab/>
        <w:tab/>
      </w:r>
      <w:r>
        <w:rPr>
          <w:b/>
          <w:bCs/>
        </w:rPr>
        <w:t>}</w:t>
      </w:r>
    </w:p>
    <w:p>
      <w:pPr>
        <w:pStyle w:val="Heading4"/>
        <w:ind w:hanging="0" w:start="0"/>
        <w:rPr/>
      </w:pPr>
      <w:r>
        <w:rPr/>
        <w:t>Regulation of Short-Term Natural Gas</w:t>
        <w:tab/>
        <w:t>}</w:t>
        <w:tab/>
        <w:tab/>
        <w:tab/>
        <w:t>Docket No. RM98-10-008</w:t>
      </w:r>
    </w:p>
    <w:p>
      <w:pPr>
        <w:pStyle w:val="Normal"/>
        <w:rPr/>
      </w:pPr>
      <w:r>
        <w:rPr>
          <w:b/>
          <w:bCs/>
        </w:rPr>
        <w:t>Transportation Services</w:t>
      </w:r>
      <w:r>
        <w:rPr/>
        <w:tab/>
        <w:tab/>
        <w:tab/>
      </w:r>
      <w:r>
        <w:rPr>
          <w:b/>
          <w:bCs/>
        </w:rPr>
        <w:t>}</w:t>
      </w:r>
    </w:p>
    <w:p>
      <w:pPr>
        <w:pStyle w:val="Normal"/>
        <w:rPr>
          <w:b/>
          <w:bCs/>
        </w:rPr>
      </w:pPr>
      <w:r>
        <w:rPr>
          <w:b/>
          <w:bCs/>
        </w:rPr>
        <w:tab/>
        <w:tab/>
        <w:tab/>
        <w:tab/>
        <w:tab/>
        <w:tab/>
        <w:t>}</w:t>
      </w:r>
    </w:p>
    <w:p>
      <w:pPr>
        <w:pStyle w:val="Heading4"/>
        <w:ind w:hanging="0" w:start="0"/>
        <w:rPr/>
      </w:pPr>
      <w:r>
        <w:rPr/>
        <w:t>Regulation of Interstate Natural Gas</w:t>
        <w:tab/>
        <w:t>}</w:t>
        <w:tab/>
        <w:tab/>
        <w:tab/>
        <w:t>Docket No. RM98-12-008</w:t>
      </w:r>
    </w:p>
    <w:p>
      <w:pPr>
        <w:pStyle w:val="Normal"/>
        <w:rPr>
          <w:b/>
          <w:bCs/>
        </w:rPr>
      </w:pPr>
      <w:r>
        <w:rPr>
          <w:b/>
          <w:bCs/>
        </w:rPr>
        <w:t>Transportation Services</w:t>
        <w:tab/>
        <w:tab/>
        <w:tab/>
        <w:t>}</w:t>
      </w:r>
    </w:p>
    <w:p>
      <w:pPr>
        <w:pStyle w:val="Normal"/>
        <w:rPr>
          <w:b/>
          <w:bCs/>
        </w:rPr>
      </w:pPr>
      <w:r>
        <w:rPr>
          <w:b/>
          <w:bCs/>
        </w:rPr>
        <w:tab/>
        <w:tab/>
        <w:tab/>
        <w:tab/>
        <w:tab/>
        <w:tab/>
        <w:t>}</w:t>
      </w:r>
    </w:p>
    <w:p>
      <w:pPr>
        <w:pStyle w:val="Normal"/>
        <w:rPr>
          <w:b/>
          <w:bCs/>
        </w:rPr>
      </w:pPr>
      <w:r>
        <w:rPr>
          <w:b/>
          <w:bCs/>
        </w:rPr>
      </w:r>
    </w:p>
    <w:p>
      <w:pPr>
        <w:pStyle w:val="Normal"/>
        <w:rPr>
          <w:b/>
          <w:bCs/>
        </w:rPr>
      </w:pPr>
      <w:r>
        <w:rPr>
          <w:b/>
          <w:bCs/>
        </w:rPr>
      </w:r>
    </w:p>
    <w:p>
      <w:pPr>
        <w:pStyle w:val="Normal"/>
        <w:jc w:val="center"/>
        <w:rPr>
          <w:b/>
          <w:bCs/>
        </w:rPr>
      </w:pPr>
      <w:r>
        <w:rPr>
          <w:b/>
          <w:bCs/>
        </w:rPr>
        <w:t>COMMENTS OF ENRON NORTH AMERICA CORP.</w:t>
      </w:r>
    </w:p>
    <w:p>
      <w:pPr>
        <w:pStyle w:val="Normal"/>
        <w:jc w:val="center"/>
        <w:rPr>
          <w:b/>
          <w:bCs/>
        </w:rPr>
      </w:pPr>
      <w:r>
        <w:rPr>
          <w:b/>
          <w:bCs/>
        </w:rPr>
        <w:t>ON NOTICE OF PROPOSED RULEMAKING</w:t>
      </w:r>
    </w:p>
    <w:p>
      <w:pPr>
        <w:pStyle w:val="Normal"/>
        <w:jc w:val="center"/>
        <w:rPr>
          <w:b/>
          <w:bCs/>
        </w:rPr>
      </w:pPr>
      <w:r>
        <w:rPr>
          <w:b/>
          <w:bCs/>
        </w:rPr>
      </w:r>
    </w:p>
    <w:p>
      <w:pPr>
        <w:pStyle w:val="Normal"/>
        <w:jc w:val="center"/>
        <w:rPr>
          <w:b/>
          <w:bCs/>
        </w:rPr>
      </w:pPr>
      <w:r>
        <w:rPr>
          <w:b/>
          <w:bCs/>
        </w:rPr>
      </w:r>
    </w:p>
    <w:p>
      <w:pPr>
        <w:pStyle w:val="Normal"/>
        <w:spacing w:lineRule="auto" w:line="480"/>
        <w:jc w:val="both"/>
        <w:rPr/>
      </w:pPr>
      <w:r>
        <w:rPr>
          <w:b/>
          <w:bCs/>
        </w:rPr>
        <w:tab/>
      </w:r>
      <w:r>
        <w:rPr/>
        <w:t>On October 12, 2001, the Federal Energy Regulatory Commission (“Commission”) issued a Notice of Proposed Rulemaking to require interstate pipelines to permit releasing shippers to recall released capacity and renominate that recalled capacity at any of the scheduling opportunities provided by interstate pipelines.  The proposed rule is designed to enhance the flexibility available to firm capacity holders by allowing them to release capacity subject to recall on an intraday basis.  This, in turn, could encourage those capacity holders to sell more released capacity than they otherwise might and thereby foster more competition in the gas transportation arena.</w:t>
      </w:r>
    </w:p>
    <w:p>
      <w:pPr>
        <w:pStyle w:val="Normal"/>
        <w:spacing w:lineRule="auto" w:line="480"/>
        <w:jc w:val="center"/>
        <w:rPr>
          <w:b/>
          <w:bCs/>
        </w:rPr>
      </w:pPr>
      <w:r>
        <w:rPr>
          <w:b/>
          <w:bCs/>
        </w:rPr>
        <w:t>I.</w:t>
      </w:r>
    </w:p>
    <w:p>
      <w:pPr>
        <w:pStyle w:val="Normal"/>
        <w:spacing w:lineRule="auto" w:line="480"/>
        <w:rPr>
          <w:b/>
          <w:i/>
          <w:i/>
        </w:rPr>
      </w:pPr>
      <w:r>
        <w:rPr/>
        <w:tab/>
        <w:t>Enron North America Corp. is a major provider of natural gas and electric power to the wholesale, industrial, and commercial retail markets to customers primarily in the United States.  ENA has firm transportation capacity on a number of interstate pipelines and also purchases interruptible capacity from those pipelines as well as firm and interruptible capacity through the secondary capacity release market.</w:t>
      </w:r>
    </w:p>
    <w:p>
      <w:pPr>
        <w:pStyle w:val="Normal"/>
        <w:keepNext w:val="true"/>
        <w:tabs>
          <w:tab w:val="left" w:pos="720" w:leader="none"/>
          <w:tab w:val="left" w:pos="1440" w:leader="none"/>
          <w:tab w:val="left" w:pos="2160" w:leader="none"/>
          <w:tab w:val="left" w:pos="2745" w:leader="none"/>
        </w:tabs>
        <w:spacing w:lineRule="auto" w:line="480"/>
        <w:jc w:val="center"/>
        <w:rPr>
          <w:b/>
          <w:bCs/>
        </w:rPr>
      </w:pPr>
      <w:r>
        <w:rPr>
          <w:b/>
          <w:bCs/>
        </w:rPr>
        <w:t>II.</w:t>
      </w:r>
    </w:p>
    <w:p>
      <w:pPr>
        <w:pStyle w:val="Normal"/>
        <w:keepNext w:val="true"/>
        <w:spacing w:lineRule="auto" w:line="480"/>
        <w:jc w:val="both"/>
        <w:rPr/>
      </w:pPr>
      <w:r>
        <w:rPr/>
        <w:tab/>
        <w:t>Communications regarding this proceeding should be addressed to:</w:t>
      </w:r>
    </w:p>
    <w:p>
      <w:pPr>
        <w:pStyle w:val="Normal"/>
        <w:keepNext w:val="true"/>
        <w:tabs>
          <w:tab w:val="left" w:pos="720" w:leader="none"/>
          <w:tab w:val="left" w:pos="3600" w:leader="none"/>
          <w:tab w:val="left" w:pos="4320" w:leader="none"/>
          <w:tab w:val="left" w:pos="5040" w:leader="none"/>
          <w:tab w:val="left" w:pos="5856" w:leader="none"/>
        </w:tabs>
        <w:jc w:val="both"/>
        <w:rPr/>
      </w:pPr>
      <w:r>
        <w:rPr/>
        <w:tab/>
        <w:t>Leslie J. Lawner</w:t>
        <w:tab/>
        <w:tab/>
        <w:tab/>
        <w:t>*Rebecca Cantrell</w:t>
      </w:r>
    </w:p>
    <w:p>
      <w:pPr>
        <w:pStyle w:val="Normal"/>
        <w:keepNext w:val="true"/>
        <w:tabs>
          <w:tab w:val="left" w:pos="720" w:leader="none"/>
          <w:tab w:val="left" w:pos="3600" w:leader="none"/>
          <w:tab w:val="left" w:pos="4320" w:leader="none"/>
          <w:tab w:val="left" w:pos="5040" w:leader="none"/>
          <w:tab w:val="left" w:pos="5856" w:leader="none"/>
        </w:tabs>
        <w:jc w:val="both"/>
        <w:rPr/>
      </w:pPr>
      <w:r>
        <w:rPr/>
        <w:tab/>
        <w:t>Attorney for</w:t>
        <w:tab/>
        <w:tab/>
        <w:tab/>
        <w:t>Director, Federal Regulatory Affairs</w:t>
      </w:r>
    </w:p>
    <w:p>
      <w:pPr>
        <w:pStyle w:val="Normal"/>
        <w:keepNext w:val="true"/>
        <w:tabs>
          <w:tab w:val="left" w:pos="720" w:leader="none"/>
          <w:tab w:val="left" w:pos="3600" w:leader="none"/>
          <w:tab w:val="left" w:pos="4320" w:leader="none"/>
          <w:tab w:val="left" w:pos="5040" w:leader="none"/>
          <w:tab w:val="left" w:pos="5856" w:leader="none"/>
        </w:tabs>
        <w:jc w:val="both"/>
        <w:rPr/>
      </w:pPr>
      <w:r>
        <w:rPr/>
        <w:tab/>
        <w:t>Enron North America Corp.</w:t>
        <w:tab/>
        <w:tab/>
        <w:tab/>
        <w:t>Enron North America Corp.</w:t>
      </w:r>
    </w:p>
    <w:p>
      <w:pPr>
        <w:pStyle w:val="Normal"/>
        <w:keepNext w:val="true"/>
        <w:tabs>
          <w:tab w:val="left" w:pos="720" w:leader="none"/>
          <w:tab w:val="left" w:pos="3600" w:leader="none"/>
          <w:tab w:val="left" w:pos="4320" w:leader="none"/>
          <w:tab w:val="left" w:pos="5040" w:leader="none"/>
          <w:tab w:val="left" w:pos="5856" w:leader="none"/>
        </w:tabs>
        <w:jc w:val="both"/>
        <w:rPr/>
      </w:pPr>
      <w:r>
        <w:rPr/>
        <w:tab/>
        <w:t>712 N. Lea</w:t>
        <w:tab/>
        <w:tab/>
        <w:tab/>
        <w:t>P. O. Box 1188</w:t>
      </w:r>
    </w:p>
    <w:p>
      <w:pPr>
        <w:pStyle w:val="Normal"/>
        <w:keepNext w:val="true"/>
        <w:tabs>
          <w:tab w:val="left" w:pos="720" w:leader="none"/>
          <w:tab w:val="left" w:pos="3600" w:leader="none"/>
          <w:tab w:val="left" w:pos="4320" w:leader="none"/>
          <w:tab w:val="left" w:pos="5040" w:leader="none"/>
          <w:tab w:val="left" w:pos="5856" w:leader="none"/>
        </w:tabs>
        <w:jc w:val="both"/>
        <w:rPr/>
      </w:pPr>
      <w:r>
        <w:rPr/>
        <w:tab/>
        <w:t>Roswell, New Mexico  88201</w:t>
        <w:tab/>
        <w:tab/>
        <w:tab/>
        <w:t>Houston, Texas  77251-1188</w:t>
      </w:r>
    </w:p>
    <w:p>
      <w:pPr>
        <w:pStyle w:val="Normal"/>
        <w:keepNext w:val="true"/>
        <w:tabs>
          <w:tab w:val="left" w:pos="720" w:leader="none"/>
          <w:tab w:val="left" w:pos="3600" w:leader="none"/>
          <w:tab w:val="left" w:pos="4320" w:leader="none"/>
          <w:tab w:val="left" w:pos="5040" w:leader="none"/>
          <w:tab w:val="left" w:pos="5856" w:leader="none"/>
        </w:tabs>
        <w:jc w:val="both"/>
        <w:rPr/>
      </w:pPr>
      <w:r>
        <w:rPr/>
        <w:tab/>
        <w:t>(505) 623-6778</w:t>
        <w:tab/>
        <w:tab/>
        <w:tab/>
        <w:t>(713) 853-5840</w:t>
      </w:r>
    </w:p>
    <w:p>
      <w:pPr>
        <w:pStyle w:val="Normal"/>
        <w:keepNext w:val="true"/>
        <w:tabs>
          <w:tab w:val="left" w:pos="720" w:leader="none"/>
          <w:tab w:val="left" w:pos="3600" w:leader="none"/>
          <w:tab w:val="left" w:pos="4320" w:leader="none"/>
          <w:tab w:val="left" w:pos="5040" w:leader="none"/>
          <w:tab w:val="left" w:pos="5856" w:leader="none"/>
        </w:tabs>
        <w:jc w:val="both"/>
        <w:rPr/>
      </w:pPr>
      <w:r>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pPr>
      <w:r>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*Designated for service in accordance with Rule 203, 18 C.F.R. §385.203, of the Commission’s Rules of Practice and Procedure.</w:t>
      </w:r>
    </w:p>
    <w:p>
      <w:pPr>
        <w:pStyle w:val="Normal"/>
        <w:spacing w:lineRule="auto" w:line="480"/>
        <w:jc w:val="both"/>
        <w:rPr/>
      </w:pPr>
      <w:r>
        <w:rPr/>
      </w:r>
    </w:p>
    <w:p>
      <w:pPr>
        <w:pStyle w:val="Normal"/>
        <w:spacing w:lineRule="auto" w:line="480"/>
        <w:jc w:val="center"/>
        <w:rPr>
          <w:b/>
          <w:bCs/>
        </w:rPr>
      </w:pPr>
      <w:r>
        <w:rPr>
          <w:b/>
          <w:bCs/>
        </w:rPr>
        <w:t>III.</w:t>
      </w:r>
    </w:p>
    <w:p>
      <w:pPr>
        <w:pStyle w:val="Normal"/>
        <w:spacing w:lineRule="auto" w:line="480"/>
        <w:jc w:val="both"/>
        <w:rPr/>
      </w:pPr>
      <w:r>
        <w:rPr/>
        <w:tab/>
        <w:t xml:space="preserve">ENA agrees with the Commission that enabling firm capacity holders to coordinate recalls of capacity release transactions and renominations of that capacity with the current intraday nomination cycle will increase flexibility and could lead to enhanced competition for interruptible transportation service.  ENA further agrees with the Commission that when GISB cannot reach consensus on an issue such as this one, it is appropriate for the Commission to resolve the policy dispute “so that the standards development process can continue.” </w:t>
      </w:r>
      <w:r>
        <w:rPr>
          <w:rStyle w:val="FootnoteCharacters"/>
          <w:rStyle w:val="FootnoteReference"/>
        </w:rPr>
        <w:footnoteReference w:id="2"/>
      </w:r>
    </w:p>
    <w:p>
      <w:pPr>
        <w:pStyle w:val="Normal"/>
        <w:spacing w:lineRule="auto" w:line="480"/>
        <w:jc w:val="both"/>
        <w:rPr/>
      </w:pPr>
      <w:r>
        <w:rPr/>
        <w:tab/>
        <w:t>While ENA supports the proposed Commission action in this proceeding, we have two concerns to note in these comments.  First, it must be made absolutely clear that a firm capacity holder’s ability to recall capacity through an intraday nomination must be part of a specific and express agreement between that firm capacity holder and the acquiring shipper.  This right can neither be a default right or a universal right.  Since the intraday recall rights do diminish the value of the capacity to the replacement shipper, it must only be done upon express notice and acceptance of the recall right as a condition of the capacity release transaction.  The parties can agree to such a condition in the negotiation process surrounding a prearranged capacity release deal, or, if not prearranged, the condition must be clearly posted when notice of availability of capacity on the pipeline internet site is made.</w:t>
      </w:r>
    </w:p>
    <w:p>
      <w:pPr>
        <w:pStyle w:val="Normal"/>
        <w:spacing w:lineRule="auto" w:line="480"/>
        <w:jc w:val="both"/>
        <w:rPr/>
      </w:pPr>
      <w:r>
        <w:rPr/>
        <w:tab/>
        <w:t>The second concern ENA has with the intraday recall concerns the implementation of those rights.  A number of parties have noted that accounting and gas tracking problems may occur due to an intraday recall, when, for example, the replacement shipper is taking gas from a pool and the pipeline cannot tell whether that shipper’s volumes into the pipeline have been curtailed.  Imbalances occurring during the day will have to be allocated between the releasing shipper exercising recall rights and the replacement shipper that is being bumped.  While we do not perceive these issues as presenting insurmountable obstacles to adoption of the NOPR, a fair resolution is needed to make this program viable and workable.  ENA suggests that the best way to work out fair mechanisms to manage these issues is through a public workshop following issuance of the Commission order herein where parties can explore and develop various solutions.</w:t>
      </w:r>
    </w:p>
    <w:p>
      <w:pPr>
        <w:pStyle w:val="Normal"/>
        <w:keepNext w:val="true"/>
        <w:spacing w:lineRule="auto" w:line="480" w:before="240" w:after="0"/>
        <w:ind w:firstLine="720" w:end="0"/>
        <w:jc w:val="both"/>
        <w:rPr/>
      </w:pPr>
      <w:r>
        <w:rPr/>
        <w:t>WHEREFORE, for the reasons stated above, ENA supports the Commission’s rulemaking, provided that the intraday recall rights are expressly stated and agreed to by both the releasing and replacement shipper, and that a public workshop is held to address the implementation issues this proposed rule raises after an order issued herein</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November 19, 2001</w:t>
      </w:r>
    </w:p>
    <w:p>
      <w:pPr>
        <w:sectPr>
          <w:headerReference w:type="default" r:id="rId3"/>
          <w:headerReference w:type="first" r:id="rId4"/>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Dated this 19th day of November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jc w:val="center"/>
        <w:rPr>
          <w:b/>
          <w:bCs/>
        </w:rPr>
      </w:pPr>
      <w:r>
        <w:rPr>
          <w:b/>
          <w:bCs/>
        </w:rPr>
      </w:r>
    </w:p>
    <w:sectPr>
      <w:headerReference w:type="default" r:id="rId5"/>
      <w:headerReference w:type="first" r:id="rId6"/>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Standards For Business Practices of Interstate Natural Gas Pipelines, Order No. 587-G, 63 FR 20072 (Apr. 23, 1998), FERC Stats. &amp; Regs. Regulations Preambles [July 1996-December 2000] ¶ 31,062, at 30,668-72 (Apr. 16, 199).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sz w:val="22"/>
      </w:rPr>
    </w:pPr>
    <w:r>
      <w:rPr>
        <w:sz w:val="22"/>
      </w:rPr>
      <w:t xml:space="preserve">Docket No. RM96-1-019, </w:t>
    </w:r>
    <w:r>
      <w:rPr>
        <w:sz w:val="22"/>
        <w:u w:val="single"/>
      </w:rPr>
      <w:t>et al.</w:t>
    </w:r>
    <w:r>
      <w:rPr>
        <w:sz w:val="22"/>
      </w:rPr>
      <w:tab/>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tabs>
        <w:tab w:val="clear" w:pos="8640"/>
        <w:tab w:val="center" w:pos="4320" w:leader="none"/>
        <w:tab w:val="right" w:pos="9270" w:leader="none"/>
      </w:tabs>
      <w:rPr>
        <w:rStyle w:val="PageNumber"/>
        <w:sz w:val="22"/>
      </w:rPr>
    </w:pPr>
    <w:r>
      <w:rPr/>
    </w:r>
  </w:p>
  <w:p>
    <w:pPr>
      <w:pStyle w:val="Header"/>
      <w:tabs>
        <w:tab w:val="clear" w:pos="8640"/>
        <w:tab w:val="center" w:pos="4320" w:leader="none"/>
        <w:tab w:val="right" w:pos="9270" w:leader="none"/>
      </w:tabs>
      <w:rPr>
        <w:rStyle w:val="PageNumber"/>
      </w:rPr>
    </w:pPr>
    <w:r>
      <w:rPr/>
    </w:r>
  </w:p>
  <w:p>
    <w:pPr>
      <w:pStyle w:val="Header"/>
      <w:tabs>
        <w:tab w:val="clear" w:pos="8640"/>
        <w:tab w:val="center" w:pos="4320" w:leader="none"/>
        <w:tab w:val="right" w:pos="927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DRAFT 2 – 11/13/01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DRAFT 2 – 11/13/01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180" w:end="0"/>
      <w:jc w:val="both"/>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2001-11-12T21:41:00Z</dcterms:created>
  <dc:creator>llawner</dc:creator>
  <dc:description/>
  <dc:language>en-CA</dc:language>
  <cp:lastModifiedBy>Rebecca W. Cantrell</cp:lastModifiedBy>
  <dcterms:modified xsi:type="dcterms:W3CDTF">2001-11-13T18:06:00Z</dcterms:modified>
  <cp:revision>8</cp:revision>
  <dc:subject/>
  <dc:title>BEFORE THE</dc:title>
</cp:coreProperties>
</file>