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 xml:space="preserve">Additions to the Long Description </w:t>
      </w:r>
    </w:p>
    <w:p>
      <w:pPr>
        <w:pStyle w:val="Normal"/>
        <w:rPr/>
      </w:pPr>
      <w:r>
        <w:rPr/>
      </w:r>
    </w:p>
    <w:p>
      <w:pPr>
        <w:pStyle w:val="Normal"/>
        <w:numPr>
          <w:ilvl w:val="0"/>
          <w:numId w:val="2"/>
        </w:numPr>
        <w:rPr/>
      </w:pPr>
      <w:r>
        <w:rPr/>
        <w:t>References to “daily election” to be changed to “</w:t>
      </w:r>
      <w:r>
        <w:rPr>
          <w:b/>
          <w:bCs/>
        </w:rPr>
        <w:t>Daily Choice</w:t>
      </w:r>
      <w:r>
        <w:rPr/>
        <w:t>”.</w:t>
      </w:r>
    </w:p>
    <w:p>
      <w:pPr>
        <w:pStyle w:val="Normal"/>
        <w:ind w:start="360" w:end="0"/>
        <w:rPr/>
      </w:pPr>
      <w:r>
        <w:rPr/>
      </w:r>
    </w:p>
    <w:p>
      <w:pPr>
        <w:pStyle w:val="Normal"/>
        <w:ind w:start="360" w:end="0"/>
        <w:rPr/>
      </w:pPr>
      <w:r>
        <w:rPr/>
        <w:t>2.   References to “website” and “Web Site” to be changed to “</w:t>
      </w:r>
      <w:r>
        <w:rPr>
          <w:b/>
          <w:bCs/>
        </w:rPr>
        <w:t>Website</w:t>
      </w:r>
      <w:r>
        <w:rPr/>
        <w:t>” to be consistent with the GTCs</w:t>
      </w:r>
    </w:p>
    <w:p>
      <w:pPr>
        <w:pStyle w:val="Normal"/>
        <w:ind w:start="360" w:end="0"/>
        <w:rPr/>
      </w:pPr>
      <w:r>
        <w:rPr/>
      </w:r>
    </w:p>
    <w:p>
      <w:pPr>
        <w:pStyle w:val="Normal"/>
        <w:ind w:start="360" w:end="0"/>
        <w:rPr/>
      </w:pPr>
      <w:r>
        <w:rPr/>
        <w:t>3.  The following to be added at the end of the Long Description:</w:t>
      </w:r>
      <w:r>
        <w:rPr>
          <w:b/>
          <w:bCs/>
        </w:rPr>
        <w:t xml:space="preserve"> “Into Cinergy System Border, Seller’s Daily Choice shall mean that Energy product consistent with the more generic “Into</w:t>
      </w:r>
      <w:r>
        <w:rPr>
          <w:b/>
          <w:bCs/>
          <w:u w:val="single"/>
        </w:rPr>
        <w:t xml:space="preserve">       </w:t>
      </w:r>
      <w:r>
        <w:rPr>
          <w:b/>
          <w:bCs/>
        </w:rPr>
        <w:t>, (the “Receiving Transmission Provider”) Seller’s Daily Choice” product as defined in “Schedule P: Products And Related Definitions” to the Edison Electric Institute Master Power Purchase &amp; Sale Agreement (Version 2.1; modified 4/25/00) (“EEI  Agreement) with the following exceptions and specifications: (a) the “Receiving Transmission Provider” shall be Cinergy; (b) all references to “Article Four” where they appear in the product definition in the EEI  Agreement shall be replaced with references to  “Article 3 of the General Terms &amp; Conditions on the Website”; and (c) this product shall be subject to the “Force Majeure” provisions in Section 1.23 of the EEI Agreement. Any terms defined in the EEI Master Agreement that are not also defined on the Website, shall be as defined in the EEI Master Agreement and in the event of any conflict between the terms on the Website and the EEI Agreement, the terms of the EEI Agreement shall prevail, insofar as they relate to the “Into” product description and/or Force Majeure.</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360" w:end="0"/>
      <w:outlineLvl w:val="1"/>
    </w:pPr>
    <w:rPr>
      <w:b/>
      <w:bCs/>
      <w:u w:val="single"/>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2001-04-20T10:50:00Z</dcterms:created>
  <dc:creator>Marcus Nettelton</dc:creator>
  <dc:description/>
  <dc:language>en-CA</dc:language>
  <cp:lastModifiedBy>Marcus Nettelton</cp:lastModifiedBy>
  <dcterms:modified xsi:type="dcterms:W3CDTF">2001-04-20T10:50:00Z</dcterms:modified>
  <cp:revision>2</cp:revision>
  <dc:subject/>
  <dc:title>Into Cinergy System Border, Seller’s Daily Choice shall mean that “Into” product as defined in Schedule P: Products And Relate</dc:title>
</cp:coreProperties>
</file>