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4.4pt;width:72pt;height:64.8pt;mso-wrap-distance-left:9.05pt;mso-wrap-distance-right:9.05pt;mso-position-horizontal-relative:text;mso-position-vertical-relative:text" filled="f" o:ole="">
            <v:imagedata r:id="rId3" o:title=""/>
            <w10:wrap type="topAndBottom"/>
          </v:shape>
          <o:OLEObject Type="Embed" ProgID="" ShapeID="ole_rId2" DrawAspect="Content" ObjectID="_1836259319"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-100965</wp:posOffset>
                </wp:positionV>
                <wp:extent cx="2579370" cy="750570"/>
                <wp:effectExtent l="0" t="0" r="0" b="0"/>
                <wp:wrapNone/>
                <wp:docPr id="1" name="Frame1"/>
                <a:graphic xmlns:a="http://schemas.openxmlformats.org/drawingml/2006/main">
                  <a:graphicData uri="http://schemas.microsoft.com/office/word/2010/wordprocessingShape">
                    <wps:wsp>
                      <wps:cNvSpPr txBox="1"/>
                      <wps:spPr>
                        <a:xfrm>
                          <a:off x="0" y="0"/>
                          <a:ext cx="2579370" cy="750570"/>
                        </a:xfrm>
                        <a:prstGeom prst="rect"/>
                        <a:solidFill>
                          <a:srgbClr val="FFFFFF"/>
                        </a:solidFill>
                        <a:ln w="9525">
                          <a:solidFill>
                            <a:srgbClr val="FF0000"/>
                          </a:solidFill>
                        </a:ln>
                      </wps:spPr>
                      <wps:txb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9.1pt;mso-wrap-distance-left:9.05pt;mso-wrap-distance-right:9.05pt;mso-wrap-distance-top:0pt;mso-wrap-distance-bottom:0pt;margin-top:-7.95pt;mso-position-vertical-relative:text;margin-left:301.65pt;mso-position-horizontal-relative:text">
                <v:textbo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-104140</wp:posOffset>
                </wp:positionV>
                <wp:extent cx="3865880" cy="756920"/>
                <wp:effectExtent l="0" t="0" r="0" b="0"/>
                <wp:wrapNone/>
                <wp:docPr id="2" name="Frame2"/>
                <a:graphic xmlns:a="http://schemas.openxmlformats.org/drawingml/2006/main">
                  <a:graphicData uri="http://schemas.microsoft.com/office/word/2010/wordprocessingShape">
                    <wps:wsp>
                      <wps:cNvSpPr txBox="1"/>
                      <wps:spPr>
                        <a:xfrm>
                          <a:off x="0" y="0"/>
                          <a:ext cx="3865880" cy="756920"/>
                        </a:xfrm>
                        <a:prstGeom prst="rect"/>
                        <a:solidFill>
                          <a:srgbClr val="3366FF"/>
                        </a:solidFill>
                        <a:ln w="12700">
                          <a:solidFill>
                            <a:srgbClr val="FF0000"/>
                          </a:solidFill>
                        </a:ln>
                      </wps:spPr>
                      <wps:txb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8 December 2000</w:t>
                            </w:r>
                          </w:p>
                          <w:p>
                            <w:pPr>
                              <w:pStyle w:val="Normal"/>
                              <w:rPr>
                                <w:b/>
                                <w:color w:val="808080"/>
                              </w:rPr>
                            </w:pPr>
                            <w:r>
                              <w:rPr>
                                <w:b/>
                                <w:color w:val="808080"/>
                              </w:rPr>
                            </w:r>
                          </w:p>
                        </w:txbxContent>
                      </wps:txbx>
                      <wps:bodyPr anchor="t" lIns="91440" tIns="45720" rIns="91440" bIns="45720">
                        <a:noAutofit/>
                      </wps:bodyPr>
                    </wps:wsp>
                  </a:graphicData>
                </a:graphic>
              </wp:anchor>
            </w:drawing>
          </mc:Choice>
          <mc:Fallback>
            <w:pict>
              <v:rect fillcolor="#3366FF" strokecolor="#FF0000" strokeweight="1pt" style="position:absolute;rotation:-0;width:304.4pt;height:59.6pt;mso-wrap-distance-left:9.05pt;mso-wrap-distance-right:9.05pt;mso-wrap-distance-top:0pt;mso-wrap-distance-bottom:0pt;margin-top:-8.2pt;mso-position-vertical-relative:text;margin-left:-8.2pt;mso-position-horizontal-relative:text">
                <v:textbo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8 December 2000</w:t>
                      </w:r>
                    </w:p>
                    <w:p>
                      <w:pPr>
                        <w:pStyle w:val="Normal"/>
                        <w:rPr>
                          <w:b/>
                          <w:color w:val="808080"/>
                        </w:rPr>
                      </w:pPr>
                      <w:r>
                        <w:rPr>
                          <w:b/>
                          <w:color w:val="808080"/>
                        </w:rPr>
                      </w:r>
                    </w:p>
                  </w:txbxContent>
                </v:textbox>
                <w10:wrap type="none"/>
              </v:rect>
            </w:pict>
          </mc:Fallback>
        </mc:AlternateConten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0000FF" w:val="clear"/>
          </w:tcPr>
          <w:p>
            <w:pPr>
              <w:pStyle w:val="Normal"/>
              <w:rPr>
                <w:b/>
                <w:color w:val="FFFFFF"/>
                <w:sz w:val="28"/>
              </w:rPr>
            </w:pPr>
            <w:r>
              <w:rPr>
                <w:b/>
                <w:color w:val="FFFFFF"/>
                <w:sz w:val="28"/>
              </w:rPr>
              <w:t>Economic and Central Bank Monitor</w:t>
            </w:r>
          </w:p>
        </w:tc>
      </w:tr>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North America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Fed Chairman Greenspan Speaks: </w:t>
            </w:r>
            <w:r>
              <w:rPr>
                <w:rFonts w:cs="Times New Roman" w:ascii="Times New Roman" w:hAnsi="Times New Roman"/>
                <w:sz w:val="22"/>
              </w:rPr>
              <w:t xml:space="preserve">The interest rate hikes of the last year and a half have done their job to align supply and demand along a more sustainable path.  Such was the message from Fed Chairman Alan Greenspan, who cited declines in homebuilding, slipping motor vehicle sales, and a downshift in demand for consumer durables as evidence of the appreciable moderation in economic activity.  Markets rallied early in the week as the Fed chairman acknowledged the economic slowdown and a possible shift in risks from overheating to moderation. </w:t>
            </w:r>
            <w:r>
              <w:rPr>
                <w:rFonts w:cs="Times New Roman" w:ascii="Times New Roman" w:hAnsi="Times New Roman"/>
                <w:b/>
                <w:sz w:val="22"/>
              </w:rPr>
              <w:t>“In an economy that already has lost some momentum, one must remain alert to the possibility that greater caution and weakening asset values in financial markets could signal or precipitate an excessive softening</w:t>
            </w:r>
            <w:r>
              <w:rPr>
                <w:rFonts w:cs="Times New Roman" w:ascii="Times New Roman" w:hAnsi="Times New Roman"/>
                <w:sz w:val="22"/>
              </w:rPr>
              <w:t xml:space="preserve"> </w:t>
            </w:r>
            <w:r>
              <w:rPr>
                <w:rFonts w:cs="Times New Roman" w:ascii="Times New Roman" w:hAnsi="Times New Roman"/>
                <w:b/>
                <w:sz w:val="22"/>
              </w:rPr>
              <w:t xml:space="preserve">in household and business spending,” </w:t>
            </w:r>
            <w:r>
              <w:rPr>
                <w:rFonts w:cs="Times New Roman" w:ascii="Times New Roman" w:hAnsi="Times New Roman"/>
                <w:sz w:val="22"/>
              </w:rPr>
              <w:t xml:space="preserve">Greenspan said.  This appears to be the overriding statement that led equity markets to rally on beliefs the Fed would not only change its inflationary bias but also lower rates imminently.  </w:t>
            </w:r>
          </w:p>
          <w:p>
            <w:pPr>
              <w:pStyle w:val="Normal"/>
              <w:rPr>
                <w:rFonts w:ascii="Times New Roman" w:hAnsi="Times New Roman" w:cs="Times New Roman"/>
                <w:b/>
                <w:sz w:val="22"/>
              </w:rPr>
            </w:pPr>
            <w:r>
              <w:rPr>
                <w:rFonts w:cs="Times New Roman" w:ascii="Times New Roman" w:hAnsi="Times New Roman"/>
                <w:b/>
                <w:sz w:val="22"/>
              </w:rPr>
            </w:r>
          </w:p>
          <w:p>
            <w:pPr>
              <w:pStyle w:val="Normal"/>
              <w:numPr>
                <w:ilvl w:val="0"/>
                <w:numId w:val="4"/>
              </w:numPr>
              <w:rPr>
                <w:rFonts w:ascii="Times New Roman" w:hAnsi="Times New Roman" w:cs="Times New Roman"/>
                <w:b/>
                <w:sz w:val="22"/>
              </w:rPr>
            </w:pPr>
            <w:r>
              <w:rPr>
                <w:rFonts w:cs="Times New Roman" w:ascii="Times New Roman" w:hAnsi="Times New Roman"/>
                <w:sz w:val="22"/>
              </w:rPr>
              <w:t xml:space="preserve">However, oil is eroding corporate profit margins and the Fed estimates that rising gas, power and oil have caused energy costs at manufacturing firms to increase 40 percent annually since the spring of 1999.   </w:t>
            </w:r>
            <w:r>
              <w:rPr>
                <w:rFonts w:cs="Times New Roman" w:ascii="Times New Roman" w:hAnsi="Times New Roman"/>
                <w:b/>
                <w:sz w:val="22"/>
              </w:rPr>
              <w:t>“The sharp rise in energy prices, if sustained, is worrisome…rising energy prices could engender risks to both inflation and economic activity.  If accommodated by monetary policy, the jump in energy prices could spill over into general inflation and inflationary expectations, as was so evident in the 1970s,”</w:t>
            </w:r>
            <w:r>
              <w:rPr>
                <w:rFonts w:cs="Times New Roman" w:ascii="Times New Roman" w:hAnsi="Times New Roman"/>
                <w:sz w:val="22"/>
              </w:rPr>
              <w:t xml:space="preserve"> he said.  On the one hand, the economy is moderating and there is a risk that it may be moderating too much.  But, the Fed chairman is very concerned about oil feeding into inflation, as it did during the oil shocks of the 1970s.  Although oil prices have declined recently, the Fed chairman will likely need another quarter’s worth of soft GDP results (below 3 percent) or rising unemployment to justify that the economy needs a rate cut.  </w:t>
            </w:r>
          </w:p>
        </w:tc>
      </w:tr>
      <w:tr>
        <w:trPr/>
        <w:tc>
          <w:tcPr>
            <w:tcW w:w="10188" w:type="dxa"/>
            <w:tcBorders>
              <w:top w:val="single" w:sz="4" w:space="0" w:color="000000"/>
              <w:start w:val="single" w:sz="4" w:space="0" w:color="000000"/>
              <w:end w:val="single" w:sz="4" w:space="0" w:color="000000"/>
            </w:tcBorders>
          </w:tcPr>
          <w:p>
            <w:pPr>
              <w:pStyle w:val="Normal"/>
              <w:numPr>
                <w:ilvl w:val="0"/>
                <w:numId w:val="9"/>
              </w:numPr>
              <w:rPr>
                <w:rFonts w:ascii="Times New Roman" w:hAnsi="Times New Roman" w:cs="Times New Roman"/>
                <w:b/>
                <w:sz w:val="22"/>
              </w:rPr>
            </w:pPr>
            <w:r>
              <w:rPr>
                <w:rFonts w:cs="Times New Roman" w:ascii="Times New Roman" w:hAnsi="Times New Roman"/>
                <w:b/>
                <w:sz w:val="22"/>
              </w:rPr>
              <w:t xml:space="preserve">U.S. Stock Markets Post Gains: </w:t>
            </w:r>
            <w:r>
              <w:rPr>
                <w:rFonts w:cs="Times New Roman" w:ascii="Times New Roman" w:hAnsi="Times New Roman"/>
                <w:sz w:val="22"/>
              </w:rPr>
              <w:t xml:space="preserve">Both the Dow (up 3 percent) and NASDAQ (up 10 percent) recovered from a rough previous week.  Comments on Tuesday by Alan Greenspan led to a rally in stocks on market assumptions that a rate cut is imminent.   However, the Fed will be wary to alter its inflationary bias after witnessing the market’s overreaction to his statements acknowledging the moderation of economic activity.  Although weak stock prices are eroding the wealth effect that encourages consumers to spend, the Fed wants to avoid the perception of moral hazard, which uses accommodative monetary policy to influence stock prices.   At week’s end, the markets surrendered some gains on concerns that included slowing profits at technology companies.  Apple Computer reported that its fiscal first-quarter losses could reach $250 million while warning that 2001 sales will slow, news that pulled down shares of IBM, HP and Intel.  Microsoft’s earnings forecasts were lowered by Goldman, Sachs and Motorola stated its profits and sales in 4Q00 and in 2001 would disappoint investors on “slowing market conditions” in the semiconductor industry.  Bank of America announced that bad loans would hurt profits.  The rally at week’s end reflected in large part the hope that stocks had fallen sufficiently enough to reflect slowing growth in profits, which the market has begun to price into the value of equities.  Also, data that point to a slowing economy will boost stocks because it bolsters hopes that the Fed will trim interest rates soon.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Amid Market Volatility, what is the Outlook for Profits? </w:t>
            </w:r>
            <w:r>
              <w:rPr>
                <w:rFonts w:cs="Times New Roman" w:ascii="Times New Roman" w:hAnsi="Times New Roman"/>
                <w:sz w:val="22"/>
              </w:rPr>
              <w:t xml:space="preserve">There seems to be a what some have termed a ”fundamental deterioration” in profits taking place as news of declining earnings forecasts and disappointing sales growth become more frequent.  Profit growth for S&amp;P 500 companies slowed to 18.3 percent in 3Q00 from 21.6 percent in 2Q00 and 23.6 percent in 1Q00, according to First Call.  Yet, as Chairman Greenspan points out, the three-to-five year average earnings projections of more than a thousand analysts, according to a Wall Street firm, though flattening in recent months, have generally held firm.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Cloudy Conditions in the U.S. Economy: </w:t>
            </w:r>
            <w:r>
              <w:rPr>
                <w:rFonts w:cs="Times New Roman" w:ascii="Times New Roman" w:hAnsi="Times New Roman"/>
                <w:sz w:val="22"/>
              </w:rPr>
              <w:t>While</w:t>
            </w:r>
            <w:r>
              <w:rPr>
                <w:rFonts w:cs="Times New Roman" w:ascii="Times New Roman" w:hAnsi="Times New Roman"/>
                <w:b/>
                <w:sz w:val="22"/>
              </w:rPr>
              <w:t xml:space="preserve"> </w:t>
            </w:r>
            <w:r>
              <w:rPr>
                <w:rFonts w:cs="Times New Roman" w:ascii="Times New Roman" w:hAnsi="Times New Roman"/>
                <w:sz w:val="22"/>
              </w:rPr>
              <w:t xml:space="preserve">Richmond Fed President Alfred Broaddus (voting) considers signs of moderation in demand a “healthy development”, inflation, his main concern, is moving in the “wrong direction.” Amongst the broad range of possible outcomes for the economy in what he calls the cloudiest conditions in recent memory, he believes a soft landing is still the most likely scenario.  Chicago Fed’s Moskow (non-voting) also sees risks of inflation and urging caution that high oil prices could spill over into core inflation.  Broaddus doesn’t appear deeply concerned about recent the stock market slide, which combined with higher interest rates and tight credit conditions, may be helping to achieve the desired balance between demand growth and supply in the economy.  And, although consumer spending is showing signs of softening, the monthly numbers are volatile, he says.  He reiterated the tightness of U.S. labor markets and upward pressure on wages.  The U.S. unemployment rate stands at 4.0 percent as of November and workers’ wages were 4.0 percent higher last month than a year ago, the largest annual increase since January 1999.  Boston Fed President Cathy Minehan (voting, 2001) echoed these comments this week by saying that labor shortage stories persist in her region. San Francisco Fed President Robert Parry (voting) said the economy, while still strong, is moving to a more sustainable track, and that the “reassessment” of risks from falling equity prices will help temper the thrust to wealth and spending.  </w:t>
            </w:r>
            <w:r>
              <w:rPr>
                <w:rFonts w:cs="Times New Roman" w:ascii="Times New Roman" w:hAnsi="Times New Roman"/>
                <w:b/>
                <w:sz w:val="22"/>
              </w:rPr>
              <w:t>These comments help to support our position that the Fed will hold rates constant and retain its inflationary bias on December 19th</w:t>
            </w:r>
            <w:r>
              <w:rPr>
                <w:rFonts w:cs="Times New Roman" w:ascii="Times New Roman" w:hAnsi="Times New Roman"/>
                <w:sz w:val="22"/>
              </w:rPr>
              <w:t xml:space="preserve">.  </w:t>
            </w:r>
          </w:p>
        </w:tc>
      </w:tr>
      <w:tr>
        <w:trPr/>
        <w:tc>
          <w:tcPr>
            <w:tcW w:w="10188" w:type="dxa"/>
            <w:tcBorders>
              <w:top w:val="single" w:sz="4" w:space="0" w:color="000000"/>
              <w:start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Cloudier: </w:t>
            </w:r>
            <w:r>
              <w:rPr>
                <w:rFonts w:cs="Times New Roman" w:ascii="Times New Roman" w:hAnsi="Times New Roman"/>
                <w:sz w:val="22"/>
              </w:rPr>
              <w:t xml:space="preserve">Besides the evidence cited by Alan Greenspan this week, more economic data reinforce the Fed-speak this week that the economy is slowing and that labor markets remain tight.  Many regions of the country reported some slowing in the pace of economic growth as well as persistent labor shortages and cost pressures, according beige book results published this week. The closely watched index of leading economic indicators, a monitor of growth over the next six months, declined in October after remaining flat in September.  U.S. productivity in 3Q00 rose at a slower pace than previous estimates (3.3 percent revised down from 3.8 percent) and more slowly than the 6.1 percent increase in 2Q00, but is still a solid result as it exceeds the rate of economic growth at 2.7 percent in 3Q00.  The decline was probably due to a drop in overall economic output as the economy cooled during the third quarter.  Unit labor costs rose more than originally estimated, up 2.9 percent from 2.5 percent.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New York Fed Analyzes Impact of Deregulation on U.S. Electricity Industry:  </w:t>
            </w:r>
            <w:r>
              <w:rPr>
                <w:rFonts w:cs="Times New Roman" w:ascii="Times New Roman" w:hAnsi="Times New Roman"/>
                <w:sz w:val="22"/>
              </w:rPr>
              <w:t>In its study published this month called “Lowering Electricity Prices through Deregulation,” the New York Fed argues that despite the structural challenges posed by deregulation, the introduction of competitive pressures in the wholesale and retail markets should ultimately lead to efficiency gains for the industry and cost savings for businesses and consumers.  In this paper, the Fed examines the events leading to power deregulation, the reasons why restructuring should improve efficiency, and why industrial and household users should see lower energy prices if and when deregulation takes place and these efficiency improvements materialize.  The study concludes that profits will flow to those firms that build and operate efficient power plants and that state authorities are turning up the competitive pressure by opening up the retail electricity market, giving consumers the power to choose their energy suppliers directly.  Prices should drop once the operational challenges such as meeting peak-load demands and coordinating output from independent producers are addressed.  Lower electricity rates should free up consumer disposable income that can be spent to boost U.S. economic activity.   For publication, refer to http://www.ny.frb.org/pihome/news/rsch_pap/rp001204.html</w:t>
            </w:r>
          </w:p>
        </w:tc>
      </w:tr>
      <w:tr>
        <w:trPr/>
        <w:tc>
          <w:tcPr>
            <w:tcW w:w="10188" w:type="dxa"/>
            <w:tcBorders>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Bank of Canada (BOC) Holds: </w:t>
            </w:r>
            <w:r>
              <w:rPr>
                <w:rFonts w:cs="Times New Roman" w:ascii="Times New Roman" w:hAnsi="Times New Roman"/>
                <w:sz w:val="22"/>
              </w:rPr>
              <w:t xml:space="preserve">Canada’s central bank left interest rates unchanged at 6.0 percent this week at its first fixed-date interest rate decision-making meeting.  In a somewhat hawkish statement, the BOC reports that economic expansion is above Canada’s long-run growth potential and that monetary conditions have supported the growth of aggregate demand.  Growth in domestic demand remains robust amid moderating external demand, namely from the U.S.  An interest rate hike would not be expected if the slowdown in US demand is sufficient to temper Canada’s growth rate.  During third quarter, the Canadian economy grew 4.8 percent and inventories jumped at both the manufacturing and retail levels.  Auto production was strong which caused inventories to build, which may lead to production cuts in 4Q00.  </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 xml:space="preserve">Europe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Economic Projections by the ECB: </w:t>
            </w:r>
            <w:r>
              <w:rPr>
                <w:rFonts w:cs="Times New Roman" w:ascii="Times New Roman" w:hAnsi="Times New Roman"/>
                <w:sz w:val="22"/>
              </w:rPr>
              <w:t xml:space="preserve">The ECB will announce for the first time its economic projections for the euro-zone on December 21.  These are not forecasts but rather general estimates of the direction the central bank believes economic activity is headed.  The ECB’s behavior will be largely influenced by the actual euro-zone growth and its estimates will be closely scrutinized, especially considering the recent rally in the euro due to the perception of stronger growth in Europe than in the U.S.  High oil prices and the euro’s weakness are still concerns of the ECB.  But, weaker-than-expected growth, a euro rebound, and lower oil prices could lead to ECB to ease next year.  </w:t>
            </w:r>
            <w:r>
              <w:rPr>
                <w:rFonts w:cs="Times New Roman" w:ascii="Times New Roman" w:hAnsi="Times New Roman"/>
                <w:b/>
                <w:sz w:val="22"/>
              </w:rPr>
              <w:t>The ECB meets next week and we expect rates to hold</w:t>
            </w:r>
            <w:r>
              <w:rPr>
                <w:rFonts w:cs="Times New Roman" w:ascii="Times New Roman" w:hAnsi="Times New Roman"/>
                <w:sz w:val="22"/>
              </w:rPr>
              <w:t xml:space="preserve">. </w:t>
            </w:r>
          </w:p>
        </w:tc>
      </w:tr>
      <w:tr>
        <w:trPr/>
        <w:tc>
          <w:tcPr>
            <w:tcW w:w="10188" w:type="dxa"/>
            <w:tcBorders>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From Bounce to Rally in the Euro: </w:t>
            </w:r>
            <w:r>
              <w:rPr>
                <w:rFonts w:cs="Times New Roman" w:ascii="Times New Roman" w:hAnsi="Times New Roman"/>
                <w:sz w:val="22"/>
              </w:rPr>
              <w:t xml:space="preserve">The euro held firm this week near 88.00 U.S. cents, closing as high as 89.16 cents mid-week.  The euro rally this week has good momentum going into next week.  Most of the euro’s gains are attributed to growing evidence of a U.S. slowdown, and the euro seems well positioned to make the most out of fears related to weak U.S. corporate profits, presidential election uncertainty, a large current account deficit, and increased risk aversion amongst U.S. investors.  Watch for the euro-zone’s 3Q00 GDP release on Tuesday.  If Europe grew faster than the U.S. during third quarter (2.4 percent), the recent rally in the euro will be confirmed.  If Europe grew substantially more than 2.4 percent during the quarter, expect a further rally in the euro.  Likewise, if Europe’s GDP numbers are weaker, expect a euro sell-off. </w:t>
            </w:r>
          </w:p>
        </w:tc>
      </w:tr>
      <w:tr>
        <w:trPr/>
        <w:tc>
          <w:tcPr>
            <w:tcW w:w="10188" w:type="dxa"/>
            <w:tcBorders>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Bank of England (BOE) Holds: </w:t>
            </w:r>
            <w:r>
              <w:rPr>
                <w:rFonts w:cs="Times New Roman" w:ascii="Times New Roman" w:hAnsi="Times New Roman"/>
                <w:sz w:val="22"/>
              </w:rPr>
              <w:t xml:space="preserve">The BOE held rates constant at 6.0 percent Thursday.  Fears of a global slowdown in demand led by the U.S. likely weighed on the minds of the MPC, but its also likely that the committee is still in search of more convincing signs that the economy is in need of a monetary stimulus. Industrial production declined in October for a second straight month.  U.K pay growth eased in November, as demand for workers grew at its slowest pace for 18 months.  The tightness of the labor market has been a major concern, but the current slowdown in employment growth is expected to continue in the coming months and inflation has remained subdued.  The key question is no longer whether interest rates have peaked (since the BOE lowered its growth and inflation forecasts last month) but rather when will the BOE ease (on evidence the economy is slowing). </w:t>
            </w:r>
          </w:p>
        </w:tc>
      </w:tr>
      <w:tr>
        <w:trPr/>
        <w:tc>
          <w:tcPr>
            <w:tcW w:w="10188" w:type="dxa"/>
            <w:tcBorders>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Financial Relief For Crisis in Ankara: </w:t>
            </w:r>
            <w:r>
              <w:rPr>
                <w:rFonts w:cs="Times New Roman" w:ascii="Times New Roman" w:hAnsi="Times New Roman"/>
                <w:sz w:val="22"/>
              </w:rPr>
              <w:t xml:space="preserve">The IMF announced an emergency loan of $7.5 billion this week to prevent the collapse of a critical economic reform program in Turkey.  Deep concerns about solvency of certain financial institutions in Turkey’s troubled banking system helped trigger the crisis, which endangered the crawling peg exchange rate regime put in place to combat the country’s high inflation and caused interest rates to jump to over 1,000 percent.  The IMF aid is tied to swift privatization of Turk Telecom (33.5 percent) and Turkish Airlines (51 percent), which are expected to auction on December 14.  Also, parliament is expected to pass a law by the end of next month to liberalize and privatize the Turkish power sector.  Turkey, following years of hyperinflation, already has an anti-inflation program in place with the IMF (of which $2.9 billion is still available) that includes a crawling peg exchange rate.  The current crisis in Turkey is such a threat because the IMF program has been very successful in combating inflation in Turkey, cutting increases in consumer prices from triple digits to under 50 percent in over one year.  </w:t>
            </w:r>
          </w:p>
        </w:tc>
      </w:tr>
    </w:tbl>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 xml:space="preserve">Asia/Pacific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Japanese Cabinet Reshuffle: </w:t>
            </w:r>
            <w:r>
              <w:rPr>
                <w:rFonts w:cs="Times New Roman" w:ascii="Times New Roman" w:hAnsi="Times New Roman"/>
                <w:sz w:val="22"/>
              </w:rPr>
              <w:t xml:space="preserve">Even though the reshuffle in the Japanese bureaucracy welcomed reformers into the government, some suggest the changes are more to keep Prime Minister Mori in power than to signal new policy changes.  Mori has faced intense political pressure recently.  The reorganization of the government is expected to reduce the number of ministries and agencies from 23 to 13.  A new cabinet-level agency “Council on Economic and Fiscal policy” will replace the Economic Planning Agency (EPA) with a mandate of monetary and fiscal policy coordination.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MSCI Re-weights On Basis of “Free Float”: </w:t>
            </w:r>
            <w:r>
              <w:rPr>
                <w:rFonts w:cs="Times New Roman" w:ascii="Times New Roman" w:hAnsi="Times New Roman"/>
                <w:sz w:val="22"/>
              </w:rPr>
              <w:t>Morgan Stanley Capital International (MSCI), who sets benchmark indices that fund managers use to track portfolio performance, is expected to announce on December 10</w:t>
            </w:r>
            <w:r>
              <w:rPr>
                <w:rFonts w:cs="Times New Roman" w:ascii="Times New Roman" w:hAnsi="Times New Roman"/>
                <w:sz w:val="22"/>
                <w:vertAlign w:val="superscript"/>
              </w:rPr>
              <w:t>th</w:t>
            </w:r>
            <w:r>
              <w:rPr>
                <w:rFonts w:cs="Times New Roman" w:ascii="Times New Roman" w:hAnsi="Times New Roman"/>
                <w:sz w:val="22"/>
              </w:rPr>
              <w:t xml:space="preserve"> a re-weighting of its international stock indices that could disadvantage Japanese equities.  Many Japanese companies have a small number of stocks available for trading (“free float”) due to a mixture of family control, cross-holdings between related companies, and government ownership.  If adjustments to the index give greater weight to shares on a free float basis, rather than on a market cap basis, a sell-off in Japanese stocks is possible as fund managers re-balance their positions in alignment with the MSCI.   By some estimates, these changes could lead to an investment outflow of a trillion yen ($9 billion).   Shares of Japan’s NTT are especially vulnerable because 46.7 percent of the company is owned by the Japanese government.  The U.S. and the UK are expected to benefit by these adjustments because the average free float in both markets is much higher than in Japan’s.  MSCI now follows policies by the FTSE, Dow and S&amp;P, which already reflect free-float calculations.  The changes resulting from the free float adjustment begin on November 30, 2001.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Japan’s Tankan Survey Expected on December 13</w:t>
            </w:r>
            <w:r>
              <w:rPr>
                <w:rFonts w:cs="Times New Roman" w:ascii="Times New Roman" w:hAnsi="Times New Roman"/>
                <w:b/>
                <w:sz w:val="22"/>
                <w:vertAlign w:val="superscript"/>
              </w:rPr>
              <w:t>th</w:t>
            </w:r>
            <w:r>
              <w:rPr>
                <w:rFonts w:cs="Times New Roman" w:ascii="Times New Roman" w:hAnsi="Times New Roman"/>
                <w:b/>
                <w:sz w:val="22"/>
              </w:rPr>
              <w:t xml:space="preserve">: </w:t>
            </w:r>
            <w:r>
              <w:rPr>
                <w:rFonts w:cs="Times New Roman" w:ascii="Times New Roman" w:hAnsi="Times New Roman"/>
                <w:sz w:val="22"/>
              </w:rPr>
              <w:t xml:space="preserve">The Bank of Japan’s closely monitored business sentiment survey is unlikely to show much improvement on the back of a declining stock market, corporate bankruptcies and the political instability.  However, some analysts believe the December results may be surprisingly upbeat, which could help lift the sluggish Japanese stock market.  The 0.2 percent rise in GDP in the third quarter illustrates the challenges ahead and it remains to be seen if the stimulus package will help boost fourth quarter growth.  </w:t>
            </w:r>
          </w:p>
        </w:tc>
      </w:tr>
      <w:tr>
        <w:trPr/>
        <w:tc>
          <w:tcPr>
            <w:tcW w:w="10188" w:type="dxa"/>
            <w:tcBorders>
              <w:start w:val="single" w:sz="4" w:space="0" w:color="FFFFFF"/>
              <w:bottom w:val="single" w:sz="4" w:space="0" w:color="FFFFFF"/>
              <w:end w:val="single" w:sz="4" w:space="0" w:color="FFFFFF"/>
            </w:tcBorders>
            <w:shd w:fill="FFFFFF" w:val="clear"/>
          </w:tcPr>
          <w:p>
            <w:pPr>
              <w:pStyle w:val="Normal"/>
              <w:snapToGrid w:val="false"/>
              <w:rPr>
                <w:rFonts w:ascii="Times New Roman" w:hAnsi="Times New Roman" w:cs="Times New Roman"/>
                <w:b/>
                <w:color w:val="FFFFFF"/>
                <w:sz w:val="22"/>
              </w:rPr>
            </w:pPr>
            <w:r>
              <w:rPr>
                <w:rFonts w:cs="Times New Roman" w:ascii="Times New Roman" w:hAnsi="Times New Roman"/>
                <w:b/>
                <w:color w:val="FFFFFF"/>
                <w:sz w:val="22"/>
              </w:rPr>
            </w:r>
          </w:p>
          <w:p>
            <w:pPr>
              <w:pStyle w:val="Normal"/>
              <w:rPr>
                <w:rFonts w:ascii="Times New Roman" w:hAnsi="Times New Roman" w:cs="Times New Roman"/>
                <w:b/>
                <w:color w:val="FFFFFF"/>
                <w:sz w:val="28"/>
              </w:rPr>
            </w:pPr>
            <w:r>
              <w:rPr>
                <w:rFonts w:cs="Times New Roman" w:ascii="Times New Roman" w:hAnsi="Times New Roman"/>
                <w:b/>
                <w:color w:val="FFFFFF"/>
                <w:sz w:val="28"/>
              </w:rPr>
            </w:r>
          </w:p>
          <w:p>
            <w:pPr>
              <w:pStyle w:val="Normal"/>
              <w:rPr>
                <w:b/>
                <w:color w:val="FFFFFF"/>
                <w:sz w:val="28"/>
              </w:rPr>
            </w:pPr>
            <w:r>
              <w:rPr>
                <w:b/>
                <w:color w:val="FFFFFF"/>
                <w:sz w:val="28"/>
              </w:rPr>
            </w:r>
          </w:p>
        </w:tc>
      </w:tr>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 xml:space="preserve">Special Country Update: Argentina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sz w:val="22"/>
              </w:rPr>
            </w:pPr>
            <w:r>
              <w:rPr>
                <w:rFonts w:cs="Times New Roman" w:ascii="Times New Roman" w:hAnsi="Times New Roman"/>
                <w:b/>
                <w:sz w:val="22"/>
              </w:rPr>
              <w:t>Liquidity and Solvency Issues Are Cause for Concern</w:t>
            </w:r>
            <w:r>
              <w:rPr>
                <w:rFonts w:cs="Times New Roman" w:ascii="Times New Roman" w:hAnsi="Times New Roman"/>
                <w:sz w:val="22"/>
              </w:rPr>
              <w:t>: Lack of investor confidence in Argentina’s ability to secure short-term funding resources to meet its $6 billion debt payments in 1Q00 and $19 billion in total in 2001 has contributed to recent market concern. Investors have feared that the government will be unable to meet its debt payments in an environment of a huge public sector debt, political instability and tight international financial markets.</w:t>
            </w:r>
          </w:p>
          <w:p>
            <w:pPr>
              <w:pStyle w:val="Normal"/>
              <w:numPr>
                <w:ilvl w:val="0"/>
                <w:numId w:val="3"/>
              </w:numPr>
              <w:rPr>
                <w:rFonts w:ascii="Times New Roman" w:hAnsi="Times New Roman" w:cs="Times New Roman"/>
                <w:sz w:val="22"/>
              </w:rPr>
            </w:pPr>
            <w:r>
              <w:rPr>
                <w:rFonts w:cs="Times New Roman" w:ascii="Times New Roman" w:hAnsi="Times New Roman"/>
                <w:b/>
                <w:sz w:val="22"/>
              </w:rPr>
              <w:t>Multilateral Assistance Will Help Preserve Near-Term Creditworthiness</w:t>
            </w:r>
            <w:r>
              <w:rPr>
                <w:rFonts w:cs="Times New Roman" w:ascii="Times New Roman" w:hAnsi="Times New Roman"/>
                <w:sz w:val="22"/>
              </w:rPr>
              <w:t xml:space="preserve">: A new credit line is being arranged with the IMF and other lending institutions that is contingent upon commitment to new economic measures to revive growth and cut spending. The IMF rescue package, estimated to be between $20 billion to $30 billion, is within reach.   Economy Minister Machinea believes the disbursements could begin as early as the end of December.  However, delays in the final package announcement could be expected if the Budget must go back to the Lower House after Senate modifications.  The IMF has shrouded in secrecy the final amount of the credit line on likely fears that $20 billion will be perceived by the markets as insufficient to attack the country’s debt problems while $30 billion may signal that the situation is more serious than previously thought. </w:t>
            </w:r>
          </w:p>
          <w:p>
            <w:pPr>
              <w:pStyle w:val="Normal"/>
              <w:numPr>
                <w:ilvl w:val="0"/>
                <w:numId w:val="3"/>
              </w:numPr>
              <w:rPr>
                <w:rFonts w:ascii="Times New Roman" w:hAnsi="Times New Roman" w:cs="Times New Roman"/>
                <w:b/>
                <w:sz w:val="22"/>
              </w:rPr>
            </w:pPr>
            <w:r>
              <w:rPr>
                <w:rFonts w:cs="Times New Roman" w:ascii="Times New Roman" w:hAnsi="Times New Roman"/>
                <w:b/>
                <w:sz w:val="22"/>
              </w:rPr>
              <w:t>But, Challenges Still Remain</w:t>
            </w:r>
            <w:r>
              <w:rPr>
                <w:rFonts w:cs="Times New Roman" w:ascii="Times New Roman" w:hAnsi="Times New Roman"/>
                <w:sz w:val="22"/>
              </w:rPr>
              <w:t>: The IMF has made its aid contingent on swift passage of next year’s budget and a series of reforms to the social security and pension systems.  Another requirement is the deregulation of the union-run public healthcare system.  The government has persuaded the provincial governors to sign up to a 5-year provincial spending freeze (agreement signed on November 20</w:t>
            </w:r>
            <w:r>
              <w:rPr>
                <w:rFonts w:cs="Times New Roman" w:ascii="Times New Roman" w:hAnsi="Times New Roman"/>
                <w:sz w:val="22"/>
                <w:vertAlign w:val="superscript"/>
              </w:rPr>
              <w:t>th</w:t>
            </w:r>
            <w:r>
              <w:rPr>
                <w:rFonts w:cs="Times New Roman" w:ascii="Times New Roman" w:hAnsi="Times New Roman"/>
                <w:sz w:val="22"/>
              </w:rPr>
              <w:t xml:space="preserve">), which is a key condition for IMF support. </w:t>
            </w:r>
          </w:p>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Argentina’s Lack of Policy Flexibility: </w:t>
            </w:r>
            <w:r>
              <w:rPr>
                <w:rFonts w:cs="Times New Roman" w:ascii="Times New Roman" w:hAnsi="Times New Roman"/>
                <w:sz w:val="22"/>
              </w:rPr>
              <w:t xml:space="preserve">Argentina’s “convertibility plan” strips the government of monetary policy and limits its ability to create credit.  The country’s currency board gives the authorities limited flexibility as the peso is fixed to the U.S. dollar (each peso must be backed by U.S. dollar foreign exchange reserves).  Fed tightening since June 1999 to address unsustainable U.S. growth has, in effect, tightened conditions in Argentina, which has caused the country’s economic stagnation.  If Argentina and the U.S. are growing asymmetrically, as has been the case, U.S. monetary policy decisions have kept real interest rates high in Argentina.  High real rates coupled with a tight domestic fiscal policy are leaning against growth in Argentina, which is needed to help finance its debt burden.  These conditions throw into question the sustainability of the fixed exchange rate regime. </w:t>
            </w:r>
          </w:p>
        </w:tc>
      </w:tr>
    </w:tbl>
    <w:p>
      <w:pPr>
        <w:pStyle w:val="Normal"/>
        <w:spacing w:lineRule="auto" w:line="480"/>
        <w:rPr>
          <w:rFonts w:ascii="Times New Roman" w:hAnsi="Times New Roman" w:cs="Times New Roman"/>
          <w:sz w:val="22"/>
        </w:rPr>
      </w:pPr>
      <w:r>
        <w:rPr>
          <w:rFonts w:cs="Times New Roman" w:ascii="Times New Roman" w:hAnsi="Times New Roman"/>
          <w:sz w:val="22"/>
        </w:rPr>
      </w:r>
    </w:p>
    <w:p>
      <w:pPr>
        <w:pStyle w:val="Normal"/>
        <w:spacing w:lineRule="auto" w:line="480"/>
        <w:rPr>
          <w:rFonts w:ascii="Times New Roman" w:hAnsi="Times New Roman" w:cs="Times New Roman"/>
          <w:sz w:val="22"/>
        </w:rPr>
      </w:pPr>
      <w:r>
        <w:rPr>
          <w:rFonts w:cs="Times New Roman" w:ascii="Times New Roman" w:hAnsi="Times New Roman"/>
          <w:sz w:val="22"/>
        </w:rPr>
      </w:r>
    </w:p>
    <w:p>
      <w:pPr>
        <w:pStyle w:val="Normal"/>
        <w:spacing w:lineRule="auto" w:line="480"/>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start w:val="single" w:sz="4" w:space="0" w:color="000000"/>
              <w:bottom w:val="single" w:sz="4" w:space="0" w:color="000000"/>
              <w:end w:val="single" w:sz="4" w:space="0" w:color="000000"/>
            </w:tcBorders>
            <w:shd w:fill="0000FF" w:val="clear"/>
          </w:tcPr>
          <w:p>
            <w:pPr>
              <w:pStyle w:val="Normal"/>
              <w:rPr>
                <w:b/>
                <w:color w:val="FFFFFF"/>
                <w:sz w:val="28"/>
              </w:rPr>
            </w:pPr>
            <w:r>
              <w:rPr>
                <w:b/>
                <w:color w:val="FFFFFF"/>
                <w:sz w:val="28"/>
                <w:shd w:fill="0000FF" w:val="clear"/>
              </w:rPr>
              <w:t>G-7+ Central Bank Monitor</w:t>
            </w:r>
          </w:p>
        </w:tc>
      </w:tr>
      <w:tr>
        <w:trPr/>
        <w:tc>
          <w:tcPr>
            <w:tcW w:w="1458" w:type="dxa"/>
            <w:tcBorders>
              <w:top w:val="single" w:sz="4" w:space="0" w:color="000000"/>
              <w:start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Last Change </w:t>
            </w:r>
          </w:p>
        </w:tc>
        <w:tc>
          <w:tcPr>
            <w:tcW w:w="1620" w:type="dxa"/>
            <w:tcBorders>
              <w:top w:val="single" w:sz="4" w:space="0" w:color="000000"/>
              <w:start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30 Jun 99 (+175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May 00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19 Dec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5.75</w:t>
            </w:r>
          </w:p>
        </w:tc>
        <w:tc>
          <w:tcPr>
            <w:tcW w:w="2070" w:type="dxa"/>
            <w:tcBorders>
              <w:top w:val="single" w:sz="4" w:space="0" w:color="000000"/>
              <w:start w:val="single" w:sz="4" w:space="0" w:color="000000"/>
              <w:end w:val="single" w:sz="4" w:space="0" w:color="000000"/>
            </w:tcBorders>
          </w:tcPr>
          <w:p>
            <w:pPr>
              <w:pStyle w:val="Normal"/>
              <w:rPr>
                <w:sz w:val="22"/>
              </w:rPr>
            </w:pPr>
            <w:r>
              <w:rPr>
                <w:rFonts w:eastAsia="Garamond"/>
                <w:sz w:val="22"/>
              </w:rPr>
              <w:t xml:space="preserve"> </w:t>
            </w:r>
            <w:r>
              <w:rPr>
                <w:sz w:val="22"/>
              </w:rPr>
              <w:t>3 May 99 (+125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17 May 00 (+50bps)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sz w:val="22"/>
              </w:rPr>
              <w:t>23 Jan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vertAlign w:val="superscript"/>
              </w:rPr>
            </w:pPr>
            <w:r>
              <w:rPr>
                <w:sz w:val="22"/>
              </w:rPr>
              <w:t xml:space="preserve">4.75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Garamond"/>
                <w:color w:val="FF0000"/>
                <w:sz w:val="22"/>
              </w:rPr>
              <w:t xml:space="preserve"> </w:t>
            </w:r>
            <w:r>
              <w:rPr>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14 Dec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end w:val="single" w:sz="4" w:space="0" w:color="000000"/>
            </w:tcBorders>
          </w:tcPr>
          <w:p>
            <w:pPr>
              <w:pStyle w:val="Normal"/>
              <w:rPr>
                <w:sz w:val="22"/>
              </w:rPr>
            </w:pPr>
            <w:r>
              <w:rPr>
                <w:sz w:val="22"/>
              </w:rPr>
              <w:t>8 May 99 (+100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sz w:val="22"/>
              </w:rPr>
              <w:t>10/11 Jan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 Feb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highlight w:val="yellow"/>
              </w:rPr>
            </w:pPr>
            <w:r>
              <w:rPr>
                <w:sz w:val="22"/>
              </w:rPr>
              <w:t>14 Mar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15 Dec 2000</w:t>
            </w:r>
          </w:p>
        </w:tc>
      </w:tr>
    </w:tbl>
    <w:p>
      <w:pPr>
        <w:pStyle w:val="Normal"/>
        <w:spacing w:lineRule="auto" w:line="480"/>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rFonts w:ascii="Times New Roman" w:hAnsi="Times New Roman" w:cs="Times New Roman"/>
                <w:b/>
                <w:color w:val="FFFFFF"/>
                <w:sz w:val="28"/>
              </w:rPr>
            </w:pPr>
            <w:r>
              <w:rPr>
                <w:rFonts w:cs="Times New Roman" w:ascii="Times New Roman" w:hAnsi="Times New Roman"/>
                <w:b/>
                <w:color w:val="FFFFFF"/>
                <w:sz w:val="28"/>
              </w:rPr>
              <w:t>Country Credit Rating Activity</w:t>
            </w:r>
          </w:p>
        </w:tc>
      </w:tr>
      <w:tr>
        <w:trPr/>
        <w:tc>
          <w:tcPr>
            <w:tcW w:w="10188" w:type="dxa"/>
            <w:tcBorders>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S&amp;P changes outlook on Taiwan “negative”: </w:t>
            </w:r>
            <w:r>
              <w:rPr>
                <w:rFonts w:cs="Times New Roman" w:ascii="Times New Roman" w:hAnsi="Times New Roman"/>
                <w:sz w:val="22"/>
              </w:rPr>
              <w:t>On December 6 S&amp;P changed its outlook on Taiwan’s foreign currency to a “negative” from “stable”.  S&amp;P cited sliding stocks, weakness of the current political regime headed by the President Chen Shui-bian and the rising percentage of bad loans as the main reasons for the downgrade.  Also, S&amp;P stated that there is a strong chance of a downgrade in Taiwan’s rating.  This news comes on the heels of plunging consumer and investor confidence and a 39 percent drop in the stock market this year.</w:t>
            </w:r>
          </w:p>
        </w:tc>
      </w:tr>
      <w:tr>
        <w:trPr/>
        <w:tc>
          <w:tcPr>
            <w:tcW w:w="10188" w:type="dxa"/>
            <w:tcBorders>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S&amp;P maintains outlook as “stable” on Thailand: </w:t>
            </w:r>
            <w:r>
              <w:rPr>
                <w:rFonts w:cs="Times New Roman" w:ascii="Times New Roman" w:hAnsi="Times New Roman"/>
                <w:sz w:val="22"/>
              </w:rPr>
              <w:t>The agency cited Thailand’s improved economic performance, reduction of bad loans and removal of barriers to foreign investment as major reasons behind its current assessment of the economy.  The market expected an upgrade of the sovereign credit rating, but due to uncertainty in near political future S&amp;P maintained all ratings.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Outlook For Turkey is downgraded by S&amp;P: </w:t>
            </w:r>
            <w:r>
              <w:rPr>
                <w:rFonts w:cs="Times New Roman" w:ascii="Times New Roman" w:hAnsi="Times New Roman"/>
                <w:sz w:val="22"/>
              </w:rPr>
              <w:t xml:space="preserve">On December 5 S&amp;P cut its outlook on Turkey’s debt ratings to “negative” citing the current banking solvency crisis as the rationale for the downgrade.  The crisis threatens the IMF’s anti-inflation program, a well-managed effort that has fostered price stability in Turkey.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sz w:val="22"/>
              </w:rPr>
            </w:pPr>
            <w:r>
              <w:rPr>
                <w:rFonts w:cs="Times New Roman" w:ascii="Times New Roman" w:hAnsi="Times New Roman"/>
                <w:b/>
                <w:sz w:val="22"/>
              </w:rPr>
              <w:t>Fitch Activity:</w:t>
            </w:r>
            <w:r>
              <w:rPr>
                <w:rFonts w:cs="Times New Roman" w:ascii="Times New Roman" w:hAnsi="Times New Roman"/>
                <w:sz w:val="22"/>
              </w:rPr>
              <w:t xml:space="preserve"> On December 7</w:t>
            </w:r>
            <w:r>
              <w:rPr>
                <w:rFonts w:cs="Times New Roman" w:ascii="Times New Roman" w:hAnsi="Times New Roman"/>
                <w:sz w:val="22"/>
                <w:vertAlign w:val="superscript"/>
              </w:rPr>
              <w:t>th</w:t>
            </w:r>
            <w:r>
              <w:rPr>
                <w:rFonts w:cs="Times New Roman" w:ascii="Times New Roman" w:hAnsi="Times New Roman"/>
                <w:sz w:val="22"/>
              </w:rPr>
              <w:t xml:space="preserve"> Fitch kept outlook for Israel’s foreign and domestic debt rating as “stable”, saying that frictions in the Middle East will not affect the country’s ability to borrow money.</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rFonts w:ascii="Times New Roman" w:hAnsi="Times New Roman" w:cs="Times New Roman"/>
                <w:b/>
                <w:color w:val="FFFFFF"/>
                <w:sz w:val="28"/>
              </w:rPr>
            </w:pPr>
            <w:r>
              <w:rPr>
                <w:rFonts w:cs="Times New Roman" w:ascii="Times New Roman" w:hAnsi="Times New Roman"/>
                <w:b/>
                <w:color w:val="FFFFFF"/>
                <w:sz w:val="28"/>
              </w:rPr>
              <w:t>Commodities News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Iraqi Oil Export Suspension Ends As UN Approves December Prices: </w:t>
            </w:r>
            <w:r>
              <w:rPr>
                <w:rFonts w:cs="Times New Roman" w:ascii="Times New Roman" w:hAnsi="Times New Roman"/>
                <w:sz w:val="22"/>
              </w:rPr>
              <w:t xml:space="preserve">The United Nations under the oil-for-food program approved the prices for Iraq’s December oil shipments today, which permits Iraq to resume oil exports after a weeklong halt after the UN rejected Iraq’s original December price quote as too low.  These developments follow Iraqi threats late last week to cut off exports of oil unless companies agreed to pay a 50 cents per barrel surcharge into an account outside UN control.  This surcharge would be paid over and above a lower than market-norm price.  Brent crude oil closed at a four-month low of $26.52 per barrel today, capping off an entire week of below $30 closing prices.  Crude traded lower following hopes that Iraqi oil exports would resume, evidence of a buildup of US crude stocks, and several comments that helped reassure the markets about oil supplies. Iraq buckled this week under UN disapproval and buyer resistance and has now dropped the demand. Lower oil prices amid suspension of Iraqi oil exports this week seems to reaffirm recent OPEC remarks that “there is surplus of supply to cover whatever deficits occurs at this moment.” </w:t>
            </w:r>
          </w:p>
        </w:tc>
      </w:tr>
    </w:tbl>
    <w:p>
      <w:pPr>
        <w:pStyle w:val="Normal"/>
        <w:rPr>
          <w:sz w:val="22"/>
        </w:rPr>
      </w:pPr>
      <w:r>
        <w:rPr>
          <w:sz w:val="22"/>
        </w:rPr>
      </w:r>
      <w:r>
        <w:br w:type="page"/>
      </w:r>
    </w:p>
    <w:p>
      <w:pPr>
        <w:pStyle w:val="Normal"/>
        <w:rPr>
          <w:sz w:val="22"/>
        </w:rPr>
      </w:pPr>
      <w:r>
        <w:rPr>
          <w:sz w:val="22"/>
        </w:rPr>
      </w:r>
    </w:p>
    <w:tbl>
      <w:tblPr>
        <w:tblW w:w="10980" w:type="dxa"/>
        <w:jc w:val="start"/>
        <w:tblInd w:w="-522" w:type="dxa"/>
        <w:tblLayout w:type="fixed"/>
        <w:tblCellMar>
          <w:top w:w="0" w:type="dxa"/>
          <w:start w:w="108" w:type="dxa"/>
          <w:bottom w:w="0" w:type="dxa"/>
          <w:end w:w="108" w:type="dxa"/>
        </w:tblCellMar>
      </w:tblPr>
      <w:tblGrid>
        <w:gridCol w:w="1710"/>
        <w:gridCol w:w="2070"/>
        <w:gridCol w:w="24"/>
        <w:gridCol w:w="1596"/>
        <w:gridCol w:w="2520"/>
        <w:gridCol w:w="1530"/>
        <w:gridCol w:w="180"/>
        <w:gridCol w:w="1350"/>
      </w:tblGrid>
      <w:tr>
        <w:trPr>
          <w:trHeight w:val="287" w:hRule="atLeast"/>
        </w:trPr>
        <w:tc>
          <w:tcPr>
            <w:tcW w:w="10980" w:type="dxa"/>
            <w:gridSpan w:val="8"/>
            <w:tcBorders>
              <w:top w:val="single" w:sz="4" w:space="0" w:color="000000"/>
              <w:start w:val="single" w:sz="4" w:space="0" w:color="000000"/>
              <w:bottom w:val="single" w:sz="4" w:space="0" w:color="000000"/>
              <w:end w:val="single" w:sz="4" w:space="0" w:color="000000"/>
            </w:tcBorders>
            <w:shd w:fill="0000FF" w:val="clear"/>
          </w:tcPr>
          <w:p>
            <w:pPr>
              <w:pStyle w:val="Normal"/>
              <w:rPr/>
            </w:pPr>
            <w:r>
              <w:rPr>
                <w:b/>
                <w:color w:val="FFFFFF"/>
                <w:sz w:val="28"/>
              </w:rPr>
              <w:t xml:space="preserve">Economic Calendar – December 11 to December 15                         </w:t>
            </w:r>
            <w:r>
              <w:rPr>
                <w:b/>
                <w:color w:val="FFFFFF"/>
                <w:sz w:val="22"/>
              </w:rPr>
              <w:t xml:space="preserve">                          (all times are CST)</w:t>
            </w:r>
          </w:p>
        </w:tc>
      </w:tr>
      <w:tr>
        <w:trPr/>
        <w:tc>
          <w:tcPr>
            <w:tcW w:w="1710"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2094"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Mon. Dec.11</w:t>
            </w:r>
          </w:p>
        </w:tc>
        <w:tc>
          <w:tcPr>
            <w:tcW w:w="1596" w:type="dxa"/>
            <w:tcBorders>
              <w:top w:val="single" w:sz="4" w:space="0" w:color="000000"/>
              <w:start w:val="single" w:sz="4" w:space="0" w:color="000000"/>
              <w:end w:val="single" w:sz="4" w:space="0" w:color="000000"/>
            </w:tcBorders>
          </w:tcPr>
          <w:p>
            <w:pPr>
              <w:pStyle w:val="Normal"/>
              <w:jc w:val="center"/>
              <w:rPr>
                <w:b/>
                <w:sz w:val="22"/>
              </w:rPr>
            </w:pPr>
            <w:r>
              <w:rPr>
                <w:b/>
                <w:sz w:val="22"/>
              </w:rPr>
              <w:t>Tues. Dec.12</w:t>
            </w:r>
          </w:p>
        </w:tc>
        <w:tc>
          <w:tcPr>
            <w:tcW w:w="2520" w:type="dxa"/>
            <w:tcBorders>
              <w:top w:val="single" w:sz="4" w:space="0" w:color="000000"/>
              <w:start w:val="single" w:sz="4" w:space="0" w:color="000000"/>
              <w:end w:val="single" w:sz="4" w:space="0" w:color="000000"/>
            </w:tcBorders>
          </w:tcPr>
          <w:p>
            <w:pPr>
              <w:pStyle w:val="Normal"/>
              <w:jc w:val="center"/>
              <w:rPr>
                <w:b/>
                <w:sz w:val="22"/>
              </w:rPr>
            </w:pPr>
            <w:r>
              <w:rPr>
                <w:b/>
                <w:sz w:val="22"/>
              </w:rPr>
              <w:t>Wed. Dec.13</w:t>
            </w:r>
          </w:p>
        </w:tc>
        <w:tc>
          <w:tcPr>
            <w:tcW w:w="1710"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Thurs. Dec.14</w:t>
            </w:r>
          </w:p>
        </w:tc>
        <w:tc>
          <w:tcPr>
            <w:tcW w:w="1350" w:type="dxa"/>
            <w:tcBorders>
              <w:top w:val="single" w:sz="4" w:space="0" w:color="000000"/>
              <w:start w:val="single" w:sz="4" w:space="0" w:color="000000"/>
              <w:end w:val="single" w:sz="4" w:space="0" w:color="000000"/>
            </w:tcBorders>
          </w:tcPr>
          <w:p>
            <w:pPr>
              <w:pStyle w:val="Normal"/>
              <w:jc w:val="center"/>
              <w:rPr>
                <w:b/>
                <w:sz w:val="22"/>
              </w:rPr>
            </w:pPr>
            <w:r>
              <w:rPr>
                <w:b/>
                <w:sz w:val="22"/>
              </w:rPr>
              <w:t>Fri. Dec.15</w:t>
            </w:r>
          </w:p>
        </w:tc>
      </w:tr>
      <w:tr>
        <w:trPr/>
        <w:tc>
          <w:tcPr>
            <w:tcW w:w="1098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BodyText2"/>
              <w:rPr>
                <w:color w:val="auto"/>
              </w:rPr>
            </w:pPr>
            <w:r>
              <w:rPr>
                <w:color w:val="auto"/>
              </w:rPr>
              <w:t>Wholesale Trade (Oct)</w:t>
            </w:r>
          </w:p>
          <w:p>
            <w:pPr>
              <w:pStyle w:val="BodyText2"/>
              <w:rPr>
                <w:color w:val="auto"/>
              </w:rPr>
            </w:pPr>
            <w:r>
              <w:rPr>
                <w:color w:val="auto"/>
              </w:rPr>
            </w:r>
          </w:p>
          <w:p>
            <w:pPr>
              <w:pStyle w:val="BodyText2"/>
              <w:rPr>
                <w:color w:val="auto"/>
              </w:rPr>
            </w:pPr>
            <w:r>
              <w:rPr>
                <w:color w:val="auto"/>
              </w:rPr>
              <w:t>Auction of T-Bills:</w:t>
            </w:r>
          </w:p>
          <w:p>
            <w:pPr>
              <w:pStyle w:val="BodyText2"/>
              <w:rPr>
                <w:color w:val="auto"/>
              </w:rPr>
            </w:pPr>
            <w:r>
              <w:rPr>
                <w:color w:val="auto"/>
              </w:rPr>
              <w:t>$22.0 bil</w:t>
            </w:r>
          </w:p>
          <w:p>
            <w:pPr>
              <w:pStyle w:val="BodyText2"/>
              <w:rPr>
                <w:color w:val="auto"/>
              </w:rPr>
            </w:pPr>
            <w:r>
              <w:rPr>
                <w:color w:val="auto"/>
              </w:rPr>
              <w:t>Settlement of buybacks</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Redbook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Richmond Fed Survey</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Fed President McDonough to speak in New York (9:00 am)</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 xml:space="preserve">SEC Chairman Levitt to speak at New York Fed Conference </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(1:30 pm)</w:t>
            </w:r>
          </w:p>
        </w:tc>
        <w:tc>
          <w:tcPr>
            <w:tcW w:w="2520" w:type="dxa"/>
            <w:tcBorders>
              <w:top w:val="single" w:sz="4" w:space="0" w:color="000000"/>
              <w:start w:val="single" w:sz="4" w:space="0" w:color="000000"/>
              <w:bottom w:val="single" w:sz="4" w:space="0" w:color="000000"/>
              <w:end w:val="single" w:sz="4" w:space="0" w:color="000000"/>
            </w:tcBorders>
          </w:tcPr>
          <w:p>
            <w:pPr>
              <w:pStyle w:val="Normal"/>
              <w:ind w:end="-288"/>
              <w:rPr/>
            </w:pPr>
            <w:r>
              <w:rPr/>
              <w:t>Mortgage Applications (Dec)</w:t>
            </w:r>
          </w:p>
          <w:p>
            <w:pPr>
              <w:pStyle w:val="Normal"/>
              <w:ind w:end="-288"/>
              <w:rPr>
                <w:color w:val="000080"/>
              </w:rPr>
            </w:pPr>
            <w:r>
              <w:rPr>
                <w:color w:val="000080"/>
              </w:rPr>
              <w:t>Retail Sales (Nov)</w:t>
            </w:r>
          </w:p>
          <w:p>
            <w:pPr>
              <w:pStyle w:val="Normal"/>
              <w:ind w:end="-288"/>
              <w:rPr>
                <w:color w:val="000080"/>
              </w:rPr>
            </w:pPr>
            <w:r>
              <w:rPr>
                <w:color w:val="000080"/>
              </w:rPr>
              <w:t>Import/Export Prices (Nov)</w:t>
            </w:r>
          </w:p>
          <w:p>
            <w:pPr>
              <w:pStyle w:val="Normal"/>
              <w:ind w:end="-288"/>
              <w:rPr>
                <w:color w:val="000080"/>
              </w:rPr>
            </w:pPr>
            <w:r>
              <w:rPr>
                <w:color w:val="000080"/>
              </w:rPr>
            </w:r>
          </w:p>
          <w:p>
            <w:pPr>
              <w:pStyle w:val="Normal"/>
              <w:ind w:end="-288"/>
              <w:rPr/>
            </w:pPr>
            <w:r>
              <w:rPr/>
              <w:t>Announcement of buybacks:   $(1.0 bil)</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72" w:end="0"/>
              <w:rPr/>
            </w:pPr>
            <w:r>
              <w:rPr/>
              <w:t>Jobless Claims (Dec)</w:t>
            </w:r>
          </w:p>
          <w:p>
            <w:pPr>
              <w:pStyle w:val="BodyTextIndent3"/>
              <w:rPr/>
            </w:pPr>
            <w:r>
              <w:rPr/>
              <w:t>PPI (Nov)</w:t>
            </w:r>
          </w:p>
          <w:p>
            <w:pPr>
              <w:pStyle w:val="Normal"/>
              <w:ind w:start="72" w:end="0"/>
              <w:rPr>
                <w:color w:val="000080"/>
              </w:rPr>
            </w:pPr>
            <w:r>
              <w:rPr>
                <w:color w:val="000080"/>
              </w:rPr>
              <w:t>Business Inventories (Oct)</w:t>
            </w:r>
          </w:p>
          <w:p>
            <w:pPr>
              <w:pStyle w:val="Normal"/>
              <w:ind w:start="72" w:end="0"/>
              <w:rPr>
                <w:color w:val="000080"/>
              </w:rPr>
            </w:pPr>
            <w:r>
              <w:rPr>
                <w:color w:val="000080"/>
              </w:rPr>
              <w:t>Current Account (00Q3)</w:t>
            </w:r>
          </w:p>
          <w:p>
            <w:pPr>
              <w:pStyle w:val="Normal"/>
              <w:ind w:start="72" w:end="0"/>
              <w:rPr>
                <w:color w:val="000080"/>
              </w:rPr>
            </w:pPr>
            <w:r>
              <w:rPr>
                <w:color w:val="000080"/>
              </w:rPr>
            </w:r>
          </w:p>
          <w:p>
            <w:pPr>
              <w:pStyle w:val="Normal"/>
              <w:ind w:start="72" w:end="0"/>
              <w:rPr/>
            </w:pPr>
            <w:r>
              <w:rPr/>
              <w:t>Auction of buybacks: $(1.0 bil)</w:t>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CPI (Nov)</w:t>
            </w:r>
          </w:p>
          <w:p>
            <w:pPr>
              <w:pStyle w:val="Normal"/>
              <w:rPr>
                <w:color w:val="000080"/>
              </w:rPr>
            </w:pPr>
            <w:r>
              <w:rPr>
                <w:color w:val="000080"/>
              </w:rPr>
              <w:t>Real Earnings (Nov)</w:t>
            </w:r>
          </w:p>
          <w:p>
            <w:pPr>
              <w:pStyle w:val="Normal"/>
              <w:rPr>
                <w:color w:val="000080"/>
              </w:rPr>
            </w:pPr>
            <w:r>
              <w:rPr>
                <w:color w:val="000080"/>
              </w:rPr>
              <w:t>Industrial Production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Capacity Utilization (Nov)</w:t>
            </w:r>
          </w:p>
        </w:tc>
      </w:tr>
      <w:tr>
        <w:trPr/>
        <w:tc>
          <w:tcPr>
            <w:tcW w:w="1710"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2070" w:type="dxa"/>
            <w:tcBorders>
              <w:top w:val="single" w:sz="4" w:space="0" w:color="000000"/>
              <w:start w:val="single" w:sz="4" w:space="0" w:color="000000"/>
              <w:end w:val="single" w:sz="4" w:space="0" w:color="000000"/>
            </w:tcBorders>
          </w:tcPr>
          <w:p>
            <w:pPr>
              <w:pStyle w:val="Normal"/>
              <w:rPr/>
            </w:pPr>
            <w:r>
              <w:rPr/>
              <w:t>New Housing Price Index (Oct)</w:t>
            </w:r>
          </w:p>
        </w:tc>
        <w:tc>
          <w:tcPr>
            <w:tcW w:w="1620" w:type="dxa"/>
            <w:gridSpan w:val="2"/>
            <w:tcBorders>
              <w:top w:val="single" w:sz="4" w:space="0" w:color="000000"/>
              <w:start w:val="single" w:sz="4" w:space="0" w:color="000000"/>
              <w:end w:val="single" w:sz="4" w:space="0" w:color="000000"/>
            </w:tcBorders>
          </w:tcPr>
          <w:p>
            <w:pPr>
              <w:pStyle w:val="Normal"/>
              <w:snapToGrid w:val="false"/>
              <w:rPr>
                <w:color w:val="000080"/>
              </w:rPr>
            </w:pPr>
            <w:r>
              <w:rPr>
                <w:color w:val="000080"/>
              </w:rPr>
            </w:r>
          </w:p>
        </w:tc>
        <w:tc>
          <w:tcPr>
            <w:tcW w:w="2520" w:type="dxa"/>
            <w:tcBorders>
              <w:top w:val="single" w:sz="4" w:space="0" w:color="000000"/>
              <w:start w:val="single" w:sz="4" w:space="0" w:color="000000"/>
              <w:end w:val="single" w:sz="4" w:space="0" w:color="000000"/>
            </w:tcBorders>
          </w:tcPr>
          <w:p>
            <w:pPr>
              <w:pStyle w:val="Normal"/>
              <w:snapToGrid w:val="false"/>
              <w:rPr>
                <w:color w:val="000080"/>
              </w:rPr>
            </w:pPr>
            <w:r>
              <w:rPr>
                <w:color w:val="000080"/>
              </w:rPr>
            </w:r>
          </w:p>
        </w:tc>
        <w:tc>
          <w:tcPr>
            <w:tcW w:w="1530" w:type="dxa"/>
            <w:tcBorders>
              <w:top w:val="single" w:sz="4" w:space="0" w:color="000000"/>
              <w:start w:val="single" w:sz="4" w:space="0" w:color="000000"/>
              <w:end w:val="single" w:sz="4" w:space="0" w:color="000000"/>
            </w:tcBorders>
          </w:tcPr>
          <w:p>
            <w:pPr>
              <w:pStyle w:val="Normal"/>
              <w:rPr>
                <w:color w:val="000080"/>
              </w:rPr>
            </w:pPr>
            <w:r>
              <w:rPr>
                <w:color w:val="000080"/>
              </w:rPr>
              <w:t>CPI (Nov)</w:t>
            </w:r>
          </w:p>
          <w:p>
            <w:pPr>
              <w:pStyle w:val="Normal"/>
              <w:rPr/>
            </w:pPr>
            <w:r>
              <w:rPr/>
              <w:t>New Motor Vehicle Sales (Oct)</w:t>
            </w:r>
          </w:p>
        </w:tc>
        <w:tc>
          <w:tcPr>
            <w:tcW w:w="1530" w:type="dxa"/>
            <w:gridSpan w:val="2"/>
            <w:tcBorders>
              <w:top w:val="single" w:sz="4" w:space="0" w:color="000000"/>
              <w:start w:val="single" w:sz="4" w:space="0" w:color="000000"/>
              <w:end w:val="single" w:sz="4" w:space="0" w:color="000000"/>
            </w:tcBorders>
          </w:tcPr>
          <w:p>
            <w:pPr>
              <w:pStyle w:val="Normal"/>
              <w:rPr>
                <w:color w:val="000080"/>
              </w:rPr>
            </w:pPr>
            <w:r>
              <w:rPr>
                <w:color w:val="000080"/>
              </w:rPr>
              <w:t>Composite Index (Nov)</w:t>
            </w:r>
          </w:p>
        </w:tc>
      </w:tr>
      <w:tr>
        <w:trPr/>
        <w:tc>
          <w:tcPr>
            <w:tcW w:w="1098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c>
          <w:tcPr>
            <w:tcW w:w="1710" w:type="dxa"/>
            <w:tcBorders>
              <w:top w:val="single" w:sz="4" w:space="0" w:color="000000"/>
              <w:start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end w:val="single" w:sz="4" w:space="0" w:color="000000"/>
            </w:tcBorders>
          </w:tcPr>
          <w:p>
            <w:pPr>
              <w:pStyle w:val="Normal"/>
              <w:snapToGrid w:val="false"/>
              <w:rPr>
                <w:b/>
                <w:color w:val="000080"/>
                <w:sz w:val="22"/>
              </w:rPr>
            </w:pPr>
            <w:r>
              <w:rPr>
                <w:b/>
                <w:color w:val="000080"/>
                <w:sz w:val="22"/>
              </w:rPr>
            </w:r>
          </w:p>
        </w:tc>
        <w:tc>
          <w:tcPr>
            <w:tcW w:w="1596" w:type="dxa"/>
            <w:tcBorders>
              <w:top w:val="single" w:sz="4" w:space="0" w:color="000000"/>
              <w:start w:val="single" w:sz="4" w:space="0" w:color="000000"/>
              <w:end w:val="single" w:sz="4" w:space="0" w:color="000000"/>
            </w:tcBorders>
          </w:tcPr>
          <w:p>
            <w:pPr>
              <w:pStyle w:val="Normal"/>
              <w:rPr/>
            </w:pPr>
            <w:r>
              <w:rPr>
                <w:b/>
                <w:color w:val="000080"/>
              </w:rPr>
              <w:t xml:space="preserve">Euro Area: </w:t>
            </w:r>
            <w:r>
              <w:rPr>
                <w:color w:val="000080"/>
              </w:rPr>
              <w:t>GDP (00Q3)</w:t>
            </w:r>
          </w:p>
          <w:p>
            <w:pPr>
              <w:pStyle w:val="Normal"/>
              <w:rPr/>
            </w:pPr>
            <w:r>
              <w:rPr>
                <w:b/>
                <w:color w:val="000080"/>
              </w:rPr>
              <w:t>Germany:</w:t>
            </w:r>
            <w:r>
              <w:rPr>
                <w:color w:val="000080"/>
              </w:rPr>
              <w:t xml:space="preserve"> Current Account (Sep)</w:t>
            </w:r>
          </w:p>
          <w:p>
            <w:pPr>
              <w:pStyle w:val="Normal"/>
              <w:rPr>
                <w:color w:val="000080"/>
              </w:rPr>
            </w:pPr>
            <w:r>
              <w:rPr>
                <w:color w:val="000080"/>
              </w:rPr>
              <w:t>GDP (00Q3)</w:t>
            </w:r>
          </w:p>
          <w:p>
            <w:pPr>
              <w:pStyle w:val="Normal"/>
              <w:rPr>
                <w:b/>
                <w:color w:val="000080"/>
              </w:rPr>
            </w:pPr>
            <w:r>
              <w:rPr>
                <w:b/>
                <w:color w:val="000080"/>
              </w:rPr>
              <w:t>France:</w:t>
            </w:r>
            <w:r>
              <w:rPr>
                <w:color w:val="000080"/>
              </w:rPr>
              <w:t xml:space="preserve"> CPI (Nov)</w:t>
            </w:r>
          </w:p>
        </w:tc>
        <w:tc>
          <w:tcPr>
            <w:tcW w:w="252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b/>
                <w:color w:val="000080"/>
              </w:rPr>
            </w:pPr>
            <w:r>
              <w:rPr>
                <w:rFonts w:cs="Garamond" w:ascii="Garamond" w:hAnsi="Garamond"/>
                <w:b/>
                <w:color w:val="000080"/>
              </w:rPr>
              <w:t xml:space="preserve">Germany: </w:t>
            </w:r>
            <w:r>
              <w:rPr>
                <w:rFonts w:cs="Garamond" w:ascii="Garamond" w:hAnsi="Garamond"/>
                <w:color w:val="000080"/>
              </w:rPr>
              <w:t>Retail Sales (Oct)</w:t>
            </w:r>
          </w:p>
        </w:tc>
        <w:tc>
          <w:tcPr>
            <w:tcW w:w="1710" w:type="dxa"/>
            <w:gridSpan w:val="2"/>
            <w:tcBorders>
              <w:top w:val="single" w:sz="4" w:space="0" w:color="000000"/>
              <w:start w:val="single" w:sz="4" w:space="0" w:color="000000"/>
              <w:end w:val="single" w:sz="4" w:space="0" w:color="000000"/>
            </w:tcBorders>
          </w:tcPr>
          <w:p>
            <w:pPr>
              <w:pStyle w:val="Normal"/>
              <w:rPr/>
            </w:pPr>
            <w:r>
              <w:rPr>
                <w:b/>
                <w:color w:val="000080"/>
              </w:rPr>
              <w:t>France:</w:t>
            </w:r>
            <w:r>
              <w:rPr>
                <w:color w:val="000080"/>
              </w:rPr>
              <w:t xml:space="preserve"> Current Account (Sep)</w:t>
            </w:r>
          </w:p>
          <w:p>
            <w:pPr>
              <w:pStyle w:val="Normal"/>
              <w:rPr/>
            </w:pPr>
            <w:r>
              <w:rPr>
                <w:b/>
                <w:color w:val="000080"/>
              </w:rPr>
              <w:t>Germany:</w:t>
            </w:r>
            <w:r>
              <w:rPr>
                <w:color w:val="000080"/>
              </w:rPr>
              <w:t xml:space="preserve"> Wholesale Prices (Nov)</w:t>
            </w:r>
          </w:p>
          <w:p>
            <w:pPr>
              <w:pStyle w:val="Normal"/>
              <w:rPr>
                <w:color w:val="FF0000"/>
              </w:rPr>
            </w:pPr>
            <w:r>
              <w:rPr>
                <w:color w:val="FF0000"/>
              </w:rPr>
            </w:r>
          </w:p>
          <w:p>
            <w:pPr>
              <w:pStyle w:val="Normal"/>
              <w:rPr>
                <w:color w:val="FF0000"/>
              </w:rPr>
            </w:pPr>
            <w:r>
              <w:rPr>
                <w:color w:val="FF0000"/>
              </w:rPr>
              <w:t>ECB meeting and press conference</w:t>
            </w:r>
          </w:p>
        </w:tc>
        <w:tc>
          <w:tcPr>
            <w:tcW w:w="1350" w:type="dxa"/>
            <w:tcBorders>
              <w:top w:val="single" w:sz="4" w:space="0" w:color="000000"/>
              <w:start w:val="single" w:sz="4" w:space="0" w:color="000000"/>
              <w:end w:val="single" w:sz="4" w:space="0" w:color="000000"/>
            </w:tcBorders>
          </w:tcPr>
          <w:p>
            <w:pPr>
              <w:pStyle w:val="Normal"/>
              <w:rPr/>
            </w:pPr>
            <w:r>
              <w:rPr>
                <w:b/>
                <w:color w:val="000080"/>
              </w:rPr>
              <w:t xml:space="preserve">Germany: </w:t>
            </w:r>
            <w:r>
              <w:rPr>
                <w:color w:val="000080"/>
              </w:rPr>
              <w:t>Retail Sales (Oct)</w:t>
            </w:r>
          </w:p>
          <w:p>
            <w:pPr>
              <w:pStyle w:val="Normal"/>
              <w:rPr>
                <w:color w:val="000080"/>
              </w:rPr>
            </w:pPr>
            <w:r>
              <w:rPr>
                <w:color w:val="000080"/>
              </w:rPr>
              <w:t>CPI and HICP (Nov)</w:t>
            </w:r>
          </w:p>
          <w:p>
            <w:pPr>
              <w:pStyle w:val="Normal"/>
              <w:rPr>
                <w:color w:val="000080"/>
              </w:rPr>
            </w:pPr>
            <w:r>
              <w:rPr>
                <w:color w:val="000080"/>
              </w:rPr>
              <w:t>IFO Business Surv. (Nov)</w:t>
            </w:r>
          </w:p>
          <w:p>
            <w:pPr>
              <w:pStyle w:val="Normal"/>
              <w:rPr/>
            </w:pPr>
            <w:r>
              <w:rPr>
                <w:b/>
                <w:color w:val="000080"/>
              </w:rPr>
              <w:t>France:</w:t>
            </w:r>
            <w:r>
              <w:rPr>
                <w:color w:val="000080"/>
              </w:rPr>
              <w:t xml:space="preserve"> Trade Balance (Oct)</w:t>
            </w:r>
          </w:p>
          <w:p>
            <w:pPr>
              <w:pStyle w:val="Normal"/>
              <w:rPr>
                <w:color w:val="000080"/>
              </w:rPr>
            </w:pPr>
            <w:r>
              <w:rPr>
                <w:color w:val="000080"/>
              </w:rPr>
              <w:t>Employment (99Q3)</w:t>
            </w:r>
          </w:p>
          <w:p>
            <w:pPr>
              <w:pStyle w:val="Normal"/>
              <w:rPr>
                <w:b/>
                <w:color w:val="000080"/>
              </w:rPr>
            </w:pPr>
            <w:r>
              <w:rPr>
                <w:b/>
                <w:color w:val="000080"/>
              </w:rPr>
              <w:t>Italy:</w:t>
            </w:r>
            <w:r>
              <w:rPr>
                <w:color w:val="000080"/>
              </w:rPr>
              <w:t xml:space="preserve"> Industrial Production (Oct)</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eastAsia="Garamond" w:cs="Garamond" w:ascii="Garamond" w:hAnsi="Garamond"/>
                <w:color w:val="000080"/>
              </w:rPr>
              <w:t xml:space="preserve"> </w:t>
            </w:r>
            <w:r>
              <w:rPr>
                <w:rFonts w:cs="Garamond" w:ascii="Garamond" w:hAnsi="Garamond"/>
                <w:color w:val="000080"/>
              </w:rPr>
              <w:t>PPI (Nov)</w:t>
            </w:r>
          </w:p>
        </w:tc>
        <w:tc>
          <w:tcPr>
            <w:tcW w:w="1596"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RPI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 xml:space="preserve">Chamber of Commerce Quarterly Report </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Unemployment Rate (Nov)</w:t>
            </w:r>
          </w:p>
          <w:p>
            <w:pPr>
              <w:pStyle w:val="Normal"/>
              <w:rPr/>
            </w:pPr>
            <w:r>
              <w:rPr/>
              <w:t>Manufac. Unit Labor Cost (Oct)</w:t>
            </w:r>
          </w:p>
          <w:p>
            <w:pPr>
              <w:pStyle w:val="Normal"/>
              <w:rPr/>
            </w:pPr>
            <w:r>
              <w:rPr/>
              <w:t>Average Earnings (Oct)</w:t>
            </w:r>
          </w:p>
          <w:p>
            <w:pPr>
              <w:pStyle w:val="Normal"/>
              <w:rPr>
                <w:color w:val="000080"/>
              </w:rPr>
            </w:pPr>
            <w:r>
              <w:rPr>
                <w:color w:val="000080"/>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Retail Sales (Nov)</w:t>
            </w:r>
          </w:p>
          <w:p>
            <w:pPr>
              <w:pStyle w:val="Normal"/>
              <w:rPr>
                <w:color w:val="000080"/>
              </w:rPr>
            </w:pPr>
            <w:r>
              <w:rPr>
                <w:color w:val="000080"/>
              </w:rPr>
              <w:t>CBI Industrial Trends Survey</w:t>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r>
        <w:trPr/>
        <w:tc>
          <w:tcPr>
            <w:tcW w:w="10980" w:type="dxa"/>
            <w:gridSpan w:val="8"/>
            <w:tcBorders>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Current Account Balance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Tankan Manufacturing Survey (Dec)</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Industrial Production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Bankruptcies (Nov)</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BOJ Policy Board Meets</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color w:val="FF0000"/>
              </w:rPr>
            </w:pPr>
            <w:r>
              <w:rPr>
                <w:rFonts w:cs="Garamond"/>
                <w:color w:val="FF0000"/>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Inventories (00Q3)</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GDP (00Q3)</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Manufacturing Survey (00Q3)</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Trade Balance (Sep)</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Food Price Index (Nov)</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Current Account (00Q3)</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color w:val="000080"/>
              </w:rPr>
            </w:pPr>
            <w:r>
              <w:rPr>
                <w:rFonts w:cs="Garamond"/>
                <w:color w:val="000080"/>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Singapore</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80"/>
                <w:sz w:val="22"/>
              </w:rPr>
            </w:pPr>
            <w:r>
              <w:rPr>
                <w:b/>
                <w:color w:val="000080"/>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Retail Sales (Oct)</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GLOBAL MARKETS Monitor (8 December 2000)</w:t>
    </w:r>
  </w:p>
  <w:p>
    <w:pPr>
      <w:pStyle w:val="Header"/>
      <w:tabs>
        <w:tab w:val="clear" w:pos="240"/>
        <w:tab w:val="left" w:pos="270" w:leader="none"/>
        <w:tab w:val="left" w:pos="5760" w:leader="none"/>
      </w:tabs>
      <w:rPr>
        <w:b/>
        <w:sz w:val="24"/>
      </w:rPr>
    </w:pPr>
    <w:r>
      <w:rPr>
        <w:b/>
        <w:sz w:val="24"/>
      </w:rPr>
      <w:t>ENA Research Group, continued</w:t>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Wingdings" w:hAnsi="Wingdings" w:cs="Wingdings"/>
      <w:sz w:val="16"/>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sz w:val="16"/>
    </w:rPr>
  </w:style>
  <w:style w:type="character" w:styleId="WW8Num62z0">
    <w:name w:val="WW8Num62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12"/>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10"/>
      </w:numPr>
      <w:ind w:hanging="240" w:start="240" w:end="0"/>
    </w:pPr>
    <w:rPr>
      <w:rFonts w:ascii="Arial Black" w:hAnsi="Arial Black" w:cs="Arial Black"/>
      <w:spacing w:val="-10"/>
      <w:sz w:val="18"/>
    </w:rPr>
  </w:style>
  <w:style w:type="paragraph" w:styleId="ListBullet2">
    <w:name w:val="List Bullet 2"/>
    <w:basedOn w:val="Normal"/>
    <w:pPr>
      <w:numPr>
        <w:ilvl w:val="0"/>
        <w:numId w:val="11"/>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13"/>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BodyTextIndent2">
    <w:name w:val="Body Text Indent 2"/>
    <w:basedOn w:val="Normal"/>
    <w:qFormat/>
    <w:pPr>
      <w:ind w:hanging="0" w:start="72" w:end="0"/>
    </w:pPr>
    <w:rPr/>
  </w:style>
  <w:style w:type="paragraph" w:styleId="BodyTextIndent3">
    <w:name w:val="Body Text Indent 3"/>
    <w:basedOn w:val="Normal"/>
    <w:qFormat/>
    <w:pPr>
      <w:ind w:hanging="0" w:start="72" w:end="0"/>
    </w:pPr>
    <w:rPr>
      <w:color w:val="000080"/>
    </w:rPr>
  </w:style>
  <w:style w:type="paragraph" w:styleId="FootnoteText">
    <w:name w:val="footnote text"/>
    <w:basedOn w:val="Normal"/>
    <w:pPr/>
    <w:rPr>
      <w:rFonts w:ascii="Times New Roman" w:hAnsi="Times New Roman" w:cs="Times New Roman"/>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2000-12-11T13:12:00Z</dcterms:created>
  <dc:creator>gkoepke</dc:creator>
  <dc:description/>
  <dc:language>en-CA</dc:language>
  <cp:lastModifiedBy>Leann M. Walton</cp:lastModifiedBy>
  <cp:lastPrinted>2000-12-10T14:13:00Z</cp:lastPrinted>
  <dcterms:modified xsi:type="dcterms:W3CDTF">2000-12-11T13:12:00Z</dcterms:modified>
  <cp:revision>2</cp:revision>
  <dc:subject/>
  <dc:title/>
</cp:coreProperties>
</file>