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lang w:val="en-CA"/>
        </w:rPr>
      </w:pPr>
      <w:r>
        <w:rPr>
          <w:sz w:val="22"/>
          <w:lang w:val="en-CA"/>
        </w:rPr>
        <w:object w:dxaOrig="1019" w:dyaOrig="87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72pt;margin-top:-14.4pt;width:72pt;height:64.8pt;mso-wrap-distance-left:9.05pt;mso-wrap-distance-right:9.05pt;mso-position-horizontal-relative:text;mso-position-vertical-relative:text" filled="f" o:ole="">
            <v:imagedata r:id="rId3" o:title=""/>
            <w10:wrap type="topAndBottom"/>
          </v:shape>
          <o:OLEObject Type="Embed" ProgID="" ShapeID="ole_rId2" DrawAspect="Content" ObjectID="_660037501" r:id="rId2"/>
        </w:object>
      </w:r>
      <w:r>
        <mc:AlternateContent>
          <mc:Choice Requires="wps">
            <w:drawing>
              <wp:anchor behindDoc="0" distT="0" distB="0" distL="114935" distR="114935" simplePos="0" locked="0" layoutInCell="1" allowOverlap="1" relativeHeight="3">
                <wp:simplePos x="0" y="0"/>
                <wp:positionH relativeFrom="column">
                  <wp:posOffset>3830955</wp:posOffset>
                </wp:positionH>
                <wp:positionV relativeFrom="paragraph">
                  <wp:posOffset>-100965</wp:posOffset>
                </wp:positionV>
                <wp:extent cx="2579370" cy="750570"/>
                <wp:effectExtent l="0" t="0" r="0" b="0"/>
                <wp:wrapNone/>
                <wp:docPr id="1" name="Frame1"/>
                <a:graphic xmlns:a="http://schemas.openxmlformats.org/drawingml/2006/main">
                  <a:graphicData uri="http://schemas.microsoft.com/office/word/2010/wordprocessingShape">
                    <wps:wsp>
                      <wps:cNvSpPr txBox="1"/>
                      <wps:spPr>
                        <a:xfrm>
                          <a:off x="0" y="0"/>
                          <a:ext cx="2579370" cy="750570"/>
                        </a:xfrm>
                        <a:prstGeom prst="rect"/>
                        <a:solidFill>
                          <a:srgbClr val="FFFFFF"/>
                        </a:solidFill>
                        <a:ln w="9525">
                          <a:solidFill>
                            <a:srgbClr val="FF0000"/>
                          </a:solidFill>
                        </a:ln>
                      </wps:spPr>
                      <wps:txbx>
                        <w:txbxContent>
                          <w:p>
                            <w:pPr>
                              <w:pStyle w:val="Normal"/>
                              <w:rPr>
                                <w:b/>
                                <w:color w:val="0000FF"/>
                                <w:sz w:val="24"/>
                              </w:rPr>
                            </w:pPr>
                            <w:r>
                              <w:rPr>
                                <w:b/>
                                <w:color w:val="0000FF"/>
                                <w:sz w:val="24"/>
                              </w:rPr>
                              <w:t>ENA Research Group</w:t>
                            </w:r>
                          </w:p>
                          <w:p>
                            <w:pPr>
                              <w:pStyle w:val="Heading9"/>
                              <w:ind w:hanging="0" w:start="0"/>
                              <w:rPr>
                                <w:color w:val="0000FF"/>
                                <w:sz w:val="24"/>
                              </w:rPr>
                            </w:pPr>
                            <w:r>
                              <w:rPr>
                                <w:color w:val="0000FF"/>
                                <w:sz w:val="24"/>
                              </w:rPr>
                              <w:t>Country Risk and Foreign Exchange</w:t>
                            </w:r>
                          </w:p>
                          <w:p>
                            <w:pPr>
                              <w:pStyle w:val="Normal"/>
                              <w:rPr>
                                <w:color w:val="0000FF"/>
                              </w:rPr>
                            </w:pPr>
                            <w:r>
                              <w:rPr>
                                <w:color w:val="0000FF"/>
                              </w:rPr>
                              <w:t>Maureen Raymond-Castañeda</w:t>
                            </w:r>
                          </w:p>
                          <w:p>
                            <w:pPr>
                              <w:pStyle w:val="Normal"/>
                              <w:rPr>
                                <w:color w:val="0000FF"/>
                              </w:rPr>
                            </w:pPr>
                            <w:r>
                              <w:rPr>
                                <w:color w:val="0000FF"/>
                              </w:rPr>
                              <w:t>Gwyn E. Koepke</w:t>
                            </w:r>
                          </w:p>
                          <w:p>
                            <w:pPr>
                              <w:pStyle w:val="Normal"/>
                              <w:rPr>
                                <w:color w:val="808080"/>
                                <w:sz w:val="24"/>
                              </w:rPr>
                            </w:pPr>
                            <w:r>
                              <w:rPr>
                                <w:color w:val="808080"/>
                                <w:sz w:val="24"/>
                              </w:rPr>
                            </w:r>
                          </w:p>
                        </w:txbxContent>
                      </wps:txbx>
                      <wps:bodyPr anchor="t" lIns="91440" tIns="45720" rIns="91440" bIns="45720">
                        <a:noAutofit/>
                      </wps:bodyPr>
                    </wps:wsp>
                  </a:graphicData>
                </a:graphic>
              </wp:anchor>
            </w:drawing>
          </mc:Choice>
          <mc:Fallback>
            <w:pict>
              <v:rect fillcolor="#FFFFFF" strokecolor="#FF0000" strokeweight="0pt" style="position:absolute;rotation:-0;width:203.1pt;height:59.1pt;mso-wrap-distance-left:9.05pt;mso-wrap-distance-right:9.05pt;mso-wrap-distance-top:0pt;mso-wrap-distance-bottom:0pt;margin-top:-7.95pt;mso-position-vertical-relative:text;margin-left:301.65pt;mso-position-horizontal-relative:text">
                <v:textbox>
                  <w:txbxContent>
                    <w:p>
                      <w:pPr>
                        <w:pStyle w:val="Normal"/>
                        <w:rPr>
                          <w:b/>
                          <w:color w:val="0000FF"/>
                          <w:sz w:val="24"/>
                        </w:rPr>
                      </w:pPr>
                      <w:r>
                        <w:rPr>
                          <w:b/>
                          <w:color w:val="0000FF"/>
                          <w:sz w:val="24"/>
                        </w:rPr>
                        <w:t>ENA Research Group</w:t>
                      </w:r>
                    </w:p>
                    <w:p>
                      <w:pPr>
                        <w:pStyle w:val="Heading9"/>
                        <w:ind w:hanging="0" w:start="0"/>
                        <w:rPr>
                          <w:color w:val="0000FF"/>
                          <w:sz w:val="24"/>
                        </w:rPr>
                      </w:pPr>
                      <w:r>
                        <w:rPr>
                          <w:color w:val="0000FF"/>
                          <w:sz w:val="24"/>
                        </w:rPr>
                        <w:t>Country Risk and Foreign Exchange</w:t>
                      </w:r>
                    </w:p>
                    <w:p>
                      <w:pPr>
                        <w:pStyle w:val="Normal"/>
                        <w:rPr>
                          <w:color w:val="0000FF"/>
                        </w:rPr>
                      </w:pPr>
                      <w:r>
                        <w:rPr>
                          <w:color w:val="0000FF"/>
                        </w:rPr>
                        <w:t>Maureen Raymond-Castañeda</w:t>
                      </w:r>
                    </w:p>
                    <w:p>
                      <w:pPr>
                        <w:pStyle w:val="Normal"/>
                        <w:rPr>
                          <w:color w:val="0000FF"/>
                        </w:rPr>
                      </w:pPr>
                      <w:r>
                        <w:rPr>
                          <w:color w:val="0000FF"/>
                        </w:rPr>
                        <w:t>Gwyn E. Koepke</w:t>
                      </w:r>
                    </w:p>
                    <w:p>
                      <w:pPr>
                        <w:pStyle w:val="Normal"/>
                        <w:rPr>
                          <w:color w:val="808080"/>
                          <w:sz w:val="24"/>
                        </w:rPr>
                      </w:pPr>
                      <w:r>
                        <w:rPr>
                          <w:color w:val="808080"/>
                          <w:sz w:val="24"/>
                        </w:rPr>
                      </w:r>
                    </w:p>
                  </w:txbxContent>
                </v:textbox>
                <w10:wrap type="none"/>
              </v:rect>
            </w:pict>
          </mc:Fallback>
        </mc:AlternateContent>
      </w:r>
      <w:r>
        <mc:AlternateContent>
          <mc:Choice Requires="wps">
            <w:drawing>
              <wp:anchor behindDoc="0" distT="0" distB="0" distL="114935" distR="114935" simplePos="0" locked="0" layoutInCell="1" allowOverlap="1" relativeHeight="4">
                <wp:simplePos x="0" y="0"/>
                <wp:positionH relativeFrom="column">
                  <wp:posOffset>-104140</wp:posOffset>
                </wp:positionH>
                <wp:positionV relativeFrom="paragraph">
                  <wp:posOffset>-104140</wp:posOffset>
                </wp:positionV>
                <wp:extent cx="3865880" cy="756920"/>
                <wp:effectExtent l="0" t="0" r="0" b="0"/>
                <wp:wrapNone/>
                <wp:docPr id="2" name="Frame2"/>
                <a:graphic xmlns:a="http://schemas.openxmlformats.org/drawingml/2006/main">
                  <a:graphicData uri="http://schemas.microsoft.com/office/word/2010/wordprocessingShape">
                    <wps:wsp>
                      <wps:cNvSpPr txBox="1"/>
                      <wps:spPr>
                        <a:xfrm>
                          <a:off x="0" y="0"/>
                          <a:ext cx="3865880" cy="756920"/>
                        </a:xfrm>
                        <a:prstGeom prst="rect"/>
                        <a:solidFill>
                          <a:srgbClr val="3366FF"/>
                        </a:solidFill>
                        <a:ln w="12700">
                          <a:solidFill>
                            <a:srgbClr val="FF0000"/>
                          </a:solidFill>
                        </a:ln>
                      </wps:spPr>
                      <wps:txbx>
                        <w:txbxContent>
                          <w:p>
                            <w:pPr>
                              <w:pStyle w:val="Normal"/>
                              <w:rPr>
                                <w:b/>
                                <w:color w:val="FFFFFF"/>
                                <w:sz w:val="28"/>
                              </w:rPr>
                            </w:pPr>
                            <w:r>
                              <w:rPr>
                                <w:b/>
                                <w:color w:val="FFFFFF"/>
                                <w:sz w:val="28"/>
                              </w:rPr>
                              <w:t>GLOBAL MARKETS MONITOR</w:t>
                            </w:r>
                          </w:p>
                          <w:p>
                            <w:pPr>
                              <w:pStyle w:val="Normal"/>
                              <w:rPr>
                                <w:b/>
                                <w:color w:val="FFFFFF"/>
                                <w:sz w:val="24"/>
                              </w:rPr>
                            </w:pPr>
                            <w:r>
                              <w:rPr>
                                <w:b/>
                                <w:color w:val="FFFFFF"/>
                                <w:sz w:val="24"/>
                              </w:rPr>
                            </w:r>
                          </w:p>
                          <w:p>
                            <w:pPr>
                              <w:pStyle w:val="Heading9"/>
                              <w:ind w:hanging="0" w:start="0"/>
                              <w:rPr>
                                <w:color w:val="808080"/>
                              </w:rPr>
                            </w:pPr>
                            <w:r>
                              <w:rPr/>
                              <w:t>Published on: 27 OCTOBER 2000</w:t>
                            </w:r>
                          </w:p>
                          <w:p>
                            <w:pPr>
                              <w:pStyle w:val="Normal"/>
                              <w:rPr>
                                <w:b/>
                                <w:color w:val="808080"/>
                              </w:rPr>
                            </w:pPr>
                            <w:r>
                              <w:rPr>
                                <w:b/>
                                <w:color w:val="808080"/>
                              </w:rPr>
                            </w:r>
                          </w:p>
                        </w:txbxContent>
                      </wps:txbx>
                      <wps:bodyPr anchor="t" lIns="91440" tIns="45720" rIns="91440" bIns="45720">
                        <a:noAutofit/>
                      </wps:bodyPr>
                    </wps:wsp>
                  </a:graphicData>
                </a:graphic>
              </wp:anchor>
            </w:drawing>
          </mc:Choice>
          <mc:Fallback>
            <w:pict>
              <v:rect fillcolor="#3366FF" strokecolor="#FF0000" strokeweight="1pt" style="position:absolute;rotation:-0;width:304.4pt;height:59.6pt;mso-wrap-distance-left:9.05pt;mso-wrap-distance-right:9.05pt;mso-wrap-distance-top:0pt;mso-wrap-distance-bottom:0pt;margin-top:-8.2pt;mso-position-vertical-relative:text;margin-left:-8.2pt;mso-position-horizontal-relative:text">
                <v:textbox>
                  <w:txbxContent>
                    <w:p>
                      <w:pPr>
                        <w:pStyle w:val="Normal"/>
                        <w:rPr>
                          <w:b/>
                          <w:color w:val="FFFFFF"/>
                          <w:sz w:val="28"/>
                        </w:rPr>
                      </w:pPr>
                      <w:r>
                        <w:rPr>
                          <w:b/>
                          <w:color w:val="FFFFFF"/>
                          <w:sz w:val="28"/>
                        </w:rPr>
                        <w:t>GLOBAL MARKETS MONITOR</w:t>
                      </w:r>
                    </w:p>
                    <w:p>
                      <w:pPr>
                        <w:pStyle w:val="Normal"/>
                        <w:rPr>
                          <w:b/>
                          <w:color w:val="FFFFFF"/>
                          <w:sz w:val="24"/>
                        </w:rPr>
                      </w:pPr>
                      <w:r>
                        <w:rPr>
                          <w:b/>
                          <w:color w:val="FFFFFF"/>
                          <w:sz w:val="24"/>
                        </w:rPr>
                      </w:r>
                    </w:p>
                    <w:p>
                      <w:pPr>
                        <w:pStyle w:val="Heading9"/>
                        <w:ind w:hanging="0" w:start="0"/>
                        <w:rPr>
                          <w:color w:val="808080"/>
                        </w:rPr>
                      </w:pPr>
                      <w:r>
                        <w:rPr/>
                        <w:t>Published on: 27 OCTOBER 2000</w:t>
                      </w:r>
                    </w:p>
                    <w:p>
                      <w:pPr>
                        <w:pStyle w:val="Normal"/>
                        <w:rPr>
                          <w:b/>
                          <w:color w:val="808080"/>
                        </w:rPr>
                      </w:pPr>
                      <w:r>
                        <w:rPr>
                          <w:b/>
                          <w:color w:val="808080"/>
                        </w:rPr>
                      </w:r>
                    </w:p>
                  </w:txbxContent>
                </v:textbox>
                <w10:wrap type="none"/>
              </v:rect>
            </w:pict>
          </mc:Fallback>
        </mc:AlternateContent>
      </w:r>
    </w:p>
    <w:tbl>
      <w:tblPr>
        <w:tblW w:w="10188" w:type="dxa"/>
        <w:jc w:val="start"/>
        <w:tblInd w:w="0" w:type="dxa"/>
        <w:tblLayout w:type="fixed"/>
        <w:tblCellMar>
          <w:top w:w="0" w:type="dxa"/>
          <w:start w:w="108" w:type="dxa"/>
          <w:bottom w:w="0" w:type="dxa"/>
          <w:end w:w="108" w:type="dxa"/>
        </w:tblCellMar>
      </w:tblPr>
      <w:tblGrid>
        <w:gridCol w:w="10188"/>
      </w:tblGrid>
      <w:tr>
        <w:trPr/>
        <w:tc>
          <w:tcPr>
            <w:tcW w:w="10188" w:type="dxa"/>
            <w:tcBorders>
              <w:top w:val="single" w:sz="4" w:space="0" w:color="000000"/>
              <w:start w:val="single" w:sz="4" w:space="0" w:color="000000"/>
              <w:end w:val="single" w:sz="4" w:space="0" w:color="000000"/>
            </w:tcBorders>
            <w:shd w:fill="0000FF" w:val="clear"/>
          </w:tcPr>
          <w:p>
            <w:pPr>
              <w:pStyle w:val="Normal"/>
              <w:rPr>
                <w:b/>
                <w:color w:val="FFFFFF"/>
                <w:sz w:val="28"/>
              </w:rPr>
            </w:pPr>
            <w:r>
              <w:rPr>
                <w:b/>
                <w:color w:val="FFFFFF"/>
                <w:sz w:val="28"/>
              </w:rPr>
              <w:t>Economic and Central Bank Monitor</w:t>
            </w:r>
          </w:p>
        </w:tc>
      </w:tr>
      <w:tr>
        <w:trPr/>
        <w:tc>
          <w:tcPr>
            <w:tcW w:w="10188" w:type="dxa"/>
            <w:tcBorders>
              <w:top w:val="single" w:sz="4" w:space="0" w:color="000000"/>
              <w:start w:val="single" w:sz="4" w:space="0" w:color="000000"/>
              <w:bottom w:val="single" w:sz="4" w:space="0" w:color="000000"/>
              <w:end w:val="single" w:sz="4" w:space="0" w:color="000000"/>
            </w:tcBorders>
            <w:shd w:fill="F2F2F2" w:val="clear"/>
          </w:tcPr>
          <w:p>
            <w:pPr>
              <w:pStyle w:val="Normal"/>
              <w:rPr>
                <w:b/>
                <w:i/>
                <w:i/>
                <w:sz w:val="28"/>
              </w:rPr>
            </w:pPr>
            <w:r>
              <w:rPr>
                <w:b/>
                <w:i/>
                <w:sz w:val="28"/>
              </w:rPr>
              <w:t>North America</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7"/>
              </w:numPr>
              <w:rPr>
                <w:rFonts w:ascii="Times New Roman" w:hAnsi="Times New Roman" w:cs="Times New Roman"/>
                <w:b/>
                <w:sz w:val="22"/>
              </w:rPr>
            </w:pPr>
            <w:r>
              <w:rPr>
                <w:rFonts w:cs="Times New Roman" w:ascii="Times New Roman" w:hAnsi="Times New Roman"/>
                <w:b/>
                <w:sz w:val="22"/>
              </w:rPr>
              <w:t xml:space="preserve">Is this a Soft Landing?   </w:t>
            </w:r>
            <w:r>
              <w:rPr>
                <w:rFonts w:cs="Times New Roman" w:ascii="Times New Roman" w:hAnsi="Times New Roman"/>
                <w:sz w:val="22"/>
              </w:rPr>
              <w:t>The U.S. economy slowed substantially in the 3</w:t>
            </w:r>
            <w:r>
              <w:rPr>
                <w:rFonts w:cs="Times New Roman" w:ascii="Times New Roman" w:hAnsi="Times New Roman"/>
                <w:sz w:val="22"/>
                <w:vertAlign w:val="superscript"/>
              </w:rPr>
              <w:t>rd</w:t>
            </w:r>
            <w:r>
              <w:rPr>
                <w:rFonts w:cs="Times New Roman" w:ascii="Times New Roman" w:hAnsi="Times New Roman"/>
                <w:sz w:val="22"/>
              </w:rPr>
              <w:t xml:space="preserve"> quarter and the key question is whether the U.S. economy will continue to grow but at a slower pace without price pressures.  GDP growth slowed to a 2.7 percent quarterly annualized rate from a blustering 5.6 percent rate in 2Q00 with less inflation on sharply decelerating private investment, falling government spending offset by strong consumer spending on durable and non-durable goods</w:t>
            </w:r>
            <w:r>
              <w:rPr>
                <w:rFonts w:cs="Times New Roman" w:ascii="Times New Roman" w:hAnsi="Times New Roman"/>
                <w:b/>
                <w:sz w:val="22"/>
              </w:rPr>
              <w:t xml:space="preserve">.  Is this the soft landing Chairman Greenspan is hoping for? </w:t>
            </w:r>
            <w:r>
              <w:rPr>
                <w:rFonts w:cs="Times New Roman" w:ascii="Times New Roman" w:hAnsi="Times New Roman"/>
                <w:sz w:val="22"/>
              </w:rPr>
              <w:t xml:space="preserve"> This all depends on whether the American consumer will continue to spend and productivity remains strong.  In the last 16 months, the Fed has implemented their plan to moderate the US economy from previous robust growth levels by raising interest rates by 150 basis points (bps).  Today’s GDP figures show the success of his plan as interest rate-sensitive sectors have weakened across the board, however, personal consumption expenditures remained firm.  With the slowdown in the manufacturing sector, the short-term focus will be on consumer indicators, such as retail sales and consumer confidence indices.  The sustainability of consumer spending given the weakness in equities and resulting reduction in wealth will determine whether the Fed has engineered a soft landing or not.  Higher oil prices are taking a bite out of real incomes.</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7"/>
              </w:numPr>
              <w:rPr>
                <w:rFonts w:ascii="Times New Roman" w:hAnsi="Times New Roman" w:cs="Times New Roman"/>
                <w:b/>
                <w:sz w:val="22"/>
              </w:rPr>
            </w:pPr>
            <w:r>
              <w:rPr>
                <w:rFonts w:cs="Times New Roman" w:ascii="Times New Roman" w:hAnsi="Times New Roman"/>
                <w:b/>
                <w:sz w:val="22"/>
              </w:rPr>
              <w:t>Inflation could still rise</w:t>
            </w:r>
            <w:r>
              <w:rPr>
                <w:rFonts w:cs="Times New Roman" w:ascii="Times New Roman" w:hAnsi="Times New Roman"/>
                <w:sz w:val="22"/>
              </w:rPr>
              <w:t>, however, despite moderating economic activity, as productivity gains are negligible in the services sectors, which comprise the majority of the CPI.  Recent U.S. productivity gains have been realized mostly in the manufacturing sector.  U.S. productivity numbers for 3</w:t>
            </w:r>
            <w:r>
              <w:rPr>
                <w:rFonts w:cs="Times New Roman" w:ascii="Times New Roman" w:hAnsi="Times New Roman"/>
                <w:sz w:val="22"/>
                <w:vertAlign w:val="superscript"/>
              </w:rPr>
              <w:t>rd</w:t>
            </w:r>
            <w:r>
              <w:rPr>
                <w:rFonts w:cs="Times New Roman" w:ascii="Times New Roman" w:hAnsi="Times New Roman"/>
                <w:sz w:val="22"/>
              </w:rPr>
              <w:t xml:space="preserve"> quarter will be announced on Thursday, November 2</w:t>
            </w:r>
            <w:r>
              <w:rPr>
                <w:rFonts w:cs="Times New Roman" w:ascii="Times New Roman" w:hAnsi="Times New Roman"/>
                <w:sz w:val="22"/>
                <w:vertAlign w:val="superscript"/>
              </w:rPr>
              <w:t>nd</w:t>
            </w:r>
            <w:r>
              <w:rPr>
                <w:rFonts w:cs="Times New Roman" w:ascii="Times New Roman" w:hAnsi="Times New Roman"/>
                <w:sz w:val="22"/>
              </w:rPr>
              <w:t xml:space="preserve">.  </w:t>
            </w:r>
            <w:r>
              <w:rPr>
                <w:rFonts w:cs="Times New Roman" w:ascii="Times New Roman" w:hAnsi="Times New Roman"/>
                <w:b/>
                <w:sz w:val="22"/>
              </w:rPr>
              <w:t>Although the market has priced in a 25 bps cut during the 1Q01, tight labor markets and high oil prices will still be on the Fed’s radar screen.</w:t>
            </w:r>
            <w:r>
              <w:rPr>
                <w:rFonts w:cs="Times New Roman" w:ascii="Times New Roman" w:hAnsi="Times New Roman"/>
                <w:sz w:val="22"/>
              </w:rPr>
              <w:t xml:space="preserve">  The Fed is probably pretty pleased with itself right now and will be waiting for signs of lower inflation or weak economic activity before any rate cut or change in bias.  In addition, now that the U.S. economy has moderated, the growth differential between the U.S. and Europe has narrowed substantially and it remains unclear whether the gap has in fact disappeared.  This wide growth differential between the US economy and Europe has been one of the major reasons behind the strength of the U.S. dollar.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5"/>
              </w:numPr>
              <w:rPr>
                <w:rFonts w:ascii="Times New Roman" w:hAnsi="Times New Roman" w:cs="Times New Roman"/>
                <w:b/>
                <w:sz w:val="22"/>
              </w:rPr>
            </w:pPr>
            <w:r>
              <w:rPr>
                <w:rFonts w:cs="Times New Roman" w:ascii="Times New Roman" w:hAnsi="Times New Roman"/>
                <w:b/>
                <w:sz w:val="22"/>
              </w:rPr>
              <w:t>Yet, How Long Can the Strong Dollar Last</w:t>
            </w:r>
            <w:r>
              <w:rPr>
                <w:rFonts w:cs="Times New Roman" w:ascii="Times New Roman" w:hAnsi="Times New Roman"/>
                <w:sz w:val="22"/>
              </w:rPr>
              <w:t>?  Years of higher US equity returns relative to European returns and a lower cost of capital in Europe have driven European firms to acquire American financial and tech companies. M&amp;A activity has enabled the US to absorb 70 percent of the world capital account surpluses, and nearly one third of this M&amp;A inflows in the U.S. last year gobbled up telecommunications companies. This strong M&amp;A activity has been supporting the US dollar as well as funding the widening US current account deficit.  Also, corporate bonds and U.S. stocks, important sources of dollar support as well, are losing their luster following profit warnings from key blue chip and tech companies.  With the ECB increasing interest rates 225 bps in the last year, M&amp;A activity is drying-up.  It’s becoming increasingly difficult to determine how the US will continue to finance its bloated current account deficit, which could reach $435bn this year. With the gap closing on economic growth differentials, this view must be weighed against the safe-haven offered by US treasury securities in a world of stubbornly high oil prices and serious political upheaval in the Middle East.</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5"/>
              </w:numPr>
              <w:rPr>
                <w:rFonts w:ascii="Times New Roman" w:hAnsi="Times New Roman" w:cs="Times New Roman"/>
                <w:sz w:val="22"/>
              </w:rPr>
            </w:pPr>
            <w:r>
              <w:rPr>
                <w:rFonts w:cs="Times New Roman" w:ascii="Times New Roman" w:hAnsi="Times New Roman"/>
                <w:b/>
                <w:sz w:val="22"/>
              </w:rPr>
              <w:t>Canadian Elections</w:t>
            </w:r>
            <w:r>
              <w:rPr>
                <w:rFonts w:cs="Times New Roman" w:ascii="Times New Roman" w:hAnsi="Times New Roman"/>
                <w:sz w:val="22"/>
              </w:rPr>
              <w:t>: Prime Minister Chrétien, in search of his third consecutive term, has called a snap general election for November 27</w:t>
            </w:r>
            <w:r>
              <w:rPr>
                <w:rFonts w:cs="Times New Roman" w:ascii="Times New Roman" w:hAnsi="Times New Roman"/>
                <w:sz w:val="22"/>
                <w:vertAlign w:val="superscript"/>
              </w:rPr>
              <w:t>th</w:t>
            </w:r>
            <w:r>
              <w:rPr>
                <w:rFonts w:cs="Times New Roman" w:ascii="Times New Roman" w:hAnsi="Times New Roman"/>
                <w:sz w:val="22"/>
              </w:rPr>
              <w:t xml:space="preserve">.  Pre-election debates have focused on which party will be able to deliver the deepest tax cuts (sound familiar?).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5"/>
              </w:numPr>
              <w:rPr>
                <w:rFonts w:ascii="Times New Roman" w:hAnsi="Times New Roman" w:cs="Times New Roman"/>
                <w:b/>
                <w:sz w:val="22"/>
              </w:rPr>
            </w:pPr>
            <w:r>
              <w:rPr>
                <w:rFonts w:cs="Times New Roman" w:ascii="Times New Roman" w:hAnsi="Times New Roman"/>
                <w:b/>
                <w:sz w:val="22"/>
              </w:rPr>
              <w:t xml:space="preserve">Canadian Tech Companies: </w:t>
            </w:r>
            <w:r>
              <w:rPr>
                <w:rFonts w:cs="Times New Roman" w:ascii="Times New Roman" w:hAnsi="Times New Roman"/>
                <w:sz w:val="22"/>
              </w:rPr>
              <w:t xml:space="preserve">Nortel, Canada’s largest company by market value and the largest maker of fiber-optic networking equipment, released disappointing third quarter sales earlier this week. Canada’s benchmark composite index TSE 300 was down nearly 11 percent for the week (NASDAQ fell 5.5 percent for the week).  Nortel makes up 22.7 percent of the TSE 300.  By contrast, JDS Uniphase, the Canadian-US optical components maker, on Thursday announced strong sales and profit forecasts. Nortel is a customer of JDS. </w:t>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b/>
                <w:sz w:val="22"/>
              </w:rPr>
            </w:pPr>
            <w:r>
              <w:rPr>
                <w:rFonts w:cs="Times New Roman" w:ascii="Times New Roman" w:hAnsi="Times New Roman"/>
                <w:b/>
                <w:sz w:val="22"/>
              </w:rPr>
            </w:r>
          </w:p>
        </w:tc>
      </w:tr>
      <w:tr>
        <w:trPr/>
        <w:tc>
          <w:tcPr>
            <w:tcW w:w="10188" w:type="dxa"/>
            <w:tcBorders>
              <w:top w:val="single" w:sz="4" w:space="0" w:color="000000"/>
              <w:start w:val="single" w:sz="4" w:space="0" w:color="000000"/>
              <w:bottom w:val="single" w:sz="4" w:space="0" w:color="000000"/>
              <w:end w:val="single" w:sz="4" w:space="0" w:color="000000"/>
            </w:tcBorders>
            <w:shd w:fill="F2F2F2" w:val="clear"/>
          </w:tcPr>
          <w:p>
            <w:pPr>
              <w:pStyle w:val="Normal"/>
              <w:rPr>
                <w:rFonts w:ascii="Times New Roman" w:hAnsi="Times New Roman" w:cs="Times New Roman"/>
                <w:b/>
                <w:i/>
                <w:i/>
                <w:sz w:val="28"/>
              </w:rPr>
            </w:pPr>
            <w:r>
              <w:rPr>
                <w:rFonts w:cs="Times New Roman" w:ascii="Times New Roman" w:hAnsi="Times New Roman"/>
                <w:b/>
                <w:i/>
                <w:sz w:val="28"/>
              </w:rPr>
              <w:t xml:space="preserve">Europe </w:t>
            </w:r>
          </w:p>
        </w:tc>
      </w:tr>
      <w:tr>
        <w:trPr>
          <w:trHeight w:val="782" w:hRule="atLeast"/>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rFonts w:ascii="Times New Roman" w:hAnsi="Times New Roman" w:cs="Times New Roman"/>
                <w:b/>
                <w:sz w:val="22"/>
              </w:rPr>
            </w:pPr>
            <w:r>
              <w:rPr>
                <w:rFonts w:cs="Times New Roman" w:ascii="Times New Roman" w:hAnsi="Times New Roman"/>
                <w:b/>
                <w:sz w:val="22"/>
              </w:rPr>
              <w:t xml:space="preserve">Euro Recovers As Growth Differential Narrows: </w:t>
            </w:r>
            <w:r>
              <w:rPr>
                <w:rFonts w:cs="Times New Roman" w:ascii="Times New Roman" w:hAnsi="Times New Roman"/>
                <w:sz w:val="22"/>
              </w:rPr>
              <w:t>The euro stumbled below $0.83 this week, but appreciated 1 percent today as GDP growth differentials narrowed between the US and the EU.  The euro has been weak due to stronger growth in the US.  In 2Q00 EU GDP was 3.7 and US GDP was 5.6 percent, yielding almost a 2 percent points positive differential favoring the US.  Third quarter GDP data for the EU will not be released until mid December.  Pay particular attention to the EU retail sales figure to be released on Tuesday.</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rFonts w:ascii="Times New Roman" w:hAnsi="Times New Roman" w:cs="Times New Roman"/>
                <w:b/>
                <w:sz w:val="22"/>
              </w:rPr>
            </w:pPr>
            <w:r>
              <w:rPr>
                <w:rFonts w:cs="Times New Roman" w:ascii="Times New Roman" w:hAnsi="Times New Roman"/>
                <w:b/>
                <w:sz w:val="22"/>
              </w:rPr>
              <w:t>ECB interest rates</w:t>
            </w:r>
            <w:r>
              <w:rPr>
                <w:rFonts w:cs="Times New Roman" w:ascii="Times New Roman" w:hAnsi="Times New Roman"/>
                <w:sz w:val="22"/>
              </w:rPr>
              <w:t>: Narrowing growth differentials gives the ECB more monetary policy maneuverability.  When the ECB raised interest rates last, on October 5, some analysts thought it would have supported the euro because it narrowed the investor’s premium (which favors the US) between the Fed funds rate and the ECB refi rate.  Instead, markets punished the euro because the ECB raised rates, fearing that the EU would slow and the growth gap between the U.S. and EU would widen even further.  Now that 3Q00 GDP for the US has been released at 2.7 percent, the markets will have to wait until mid-December for the release of EU GDP growth, although</w:t>
            </w:r>
            <w:r>
              <w:rPr>
                <w:rFonts w:cs="Times New Roman" w:ascii="Times New Roman" w:hAnsi="Times New Roman"/>
                <w:b/>
                <w:sz w:val="22"/>
              </w:rPr>
              <w:t xml:space="preserve"> </w:t>
            </w:r>
            <w:r>
              <w:rPr>
                <w:rFonts w:cs="Times New Roman" w:ascii="Times New Roman" w:hAnsi="Times New Roman"/>
                <w:sz w:val="22"/>
              </w:rPr>
              <w:t>there are some signs of a</w:t>
            </w:r>
            <w:r>
              <w:rPr>
                <w:rFonts w:cs="Times New Roman" w:ascii="Times New Roman" w:hAnsi="Times New Roman"/>
                <w:b/>
                <w:sz w:val="22"/>
              </w:rPr>
              <w:t xml:space="preserve"> </w:t>
            </w:r>
            <w:r>
              <w:rPr>
                <w:rFonts w:cs="Times New Roman" w:ascii="Times New Roman" w:hAnsi="Times New Roman"/>
                <w:sz w:val="22"/>
              </w:rPr>
              <w:t>slowing in the EU in the summer months from lower industrial output growth</w:t>
            </w:r>
            <w:r>
              <w:rPr>
                <w:rFonts w:cs="Times New Roman" w:ascii="Times New Roman" w:hAnsi="Times New Roman"/>
                <w:b/>
                <w:sz w:val="22"/>
              </w:rPr>
              <w:t xml:space="preserve"> </w:t>
            </w:r>
            <w:r>
              <w:rPr>
                <w:rFonts w:cs="Times New Roman" w:ascii="Times New Roman" w:hAnsi="Times New Roman"/>
                <w:sz w:val="22"/>
              </w:rPr>
              <w:t>and retail sales.</w:t>
            </w:r>
            <w:r>
              <w:rPr>
                <w:rFonts w:cs="Times New Roman" w:ascii="Times New Roman" w:hAnsi="Times New Roman"/>
                <w:b/>
                <w:sz w:val="22"/>
              </w:rPr>
              <w:t xml:space="preserve">  </w:t>
            </w:r>
            <w:r>
              <w:rPr>
                <w:rFonts w:cs="Times New Roman" w:ascii="Times New Roman" w:hAnsi="Times New Roman"/>
                <w:sz w:val="22"/>
              </w:rPr>
              <w:t xml:space="preserve">But, it is clear that the U.S. economy has moderated and as a result the growth differential between the U.S. and Europe has narrowed substantially, or could have disappeared entirely.  ECB President Duisenberg says that prospects for euro zone companies are favorable, the structural environment is improving and the economic environment is developing positively.  Duisenberg expects euro zone GDP to be above 3 percent in 2000 and 2001. </w:t>
            </w:r>
          </w:p>
          <w:p>
            <w:pPr>
              <w:pStyle w:val="Normal"/>
              <w:rPr>
                <w:rFonts w:ascii="Times New Roman" w:hAnsi="Times New Roman" w:cs="Times New Roman"/>
                <w:b/>
                <w:sz w:val="22"/>
              </w:rPr>
            </w:pPr>
            <w:r>
              <w:rPr>
                <w:rFonts w:cs="Times New Roman" w:ascii="Times New Roman" w:hAnsi="Times New Roman"/>
                <w:b/>
                <w:sz w:val="22"/>
              </w:rPr>
            </w:r>
          </w:p>
          <w:p>
            <w:pPr>
              <w:pStyle w:val="Normal"/>
              <w:ind w:start="360" w:end="0"/>
              <w:rPr>
                <w:rFonts w:ascii="Times New Roman" w:hAnsi="Times New Roman" w:cs="Times New Roman"/>
                <w:b/>
                <w:sz w:val="22"/>
              </w:rPr>
            </w:pPr>
            <w:r>
              <w:rPr>
                <w:rFonts w:cs="Times New Roman" w:ascii="Times New Roman" w:hAnsi="Times New Roman"/>
                <w:b/>
                <w:sz w:val="22"/>
              </w:rPr>
              <w:t>ECB still faces a difficult situation</w:t>
            </w:r>
            <w:r>
              <w:rPr>
                <w:rFonts w:cs="Times New Roman" w:ascii="Times New Roman" w:hAnsi="Times New Roman"/>
                <w:sz w:val="22"/>
              </w:rPr>
              <w:t xml:space="preserve"> with compelling evidence of an economic slowdown and the euro hitting new lows, the ECB may keep rates on hold, but it remains a close call.  Markets will be concentrating on growth to ascertain the new differential.  However, if the market perceives that the growth differential no longer exists, or that the EU is growing faster than the US, market focus will shift toward interest rate differentials.  This shift in focus toward interest rate differentials gives the ECB greater power to lift rates and gain the much-needed central bank credibility in its battle against inflation.  An interest rate rise by the ECB would also further increase the cost of capital of European firms, which has been a key driver in transatlantic M&amp;A activity.  In summary, all these factors combined, narrowing interest rate differentials, reduced M&amp;A deals, and increased central bank credibility will prop up the euro.</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rFonts w:ascii="Times New Roman" w:hAnsi="Times New Roman" w:cs="Times New Roman"/>
                <w:sz w:val="22"/>
              </w:rPr>
            </w:pPr>
            <w:r>
              <w:rPr>
                <w:rFonts w:cs="Times New Roman" w:ascii="Times New Roman" w:hAnsi="Times New Roman"/>
                <w:b/>
                <w:sz w:val="22"/>
              </w:rPr>
              <w:t>Oil a Drag on Growth</w:t>
            </w:r>
            <w:r>
              <w:rPr>
                <w:rFonts w:cs="Times New Roman" w:ascii="Times New Roman" w:hAnsi="Times New Roman"/>
                <w:sz w:val="22"/>
              </w:rPr>
              <w:t xml:space="preserve">: Consumer spending is slowing in France and economic growth is expected to slow next year in Germany to 2.7 percent and in the euro-zone to 2.8 percent as a whole based on a forecast by a consortia of leading German economic institutes.  Persistently high oil prices that have eroded real incomes, coupled with higher interest rates, are the main culprits to slower growth, not only in the EU but in the U.S. as well.  Illustrating the moderate economic slowdown in Europe, German industrial production figures released this week were slower than expected and demonstrate that GDP is not expanding as fast as it did in 2Q00 at 3.7 percent.  Business and consumer confidence is down in Germany and France, which is an indicator of future economic activity.  Falling business and consumer confidence is an indicator of further moderation in economic activity. Retail sales, while moderate this summer, remain brisk in both countries heading into fall.  A key indication as to extent of the moderation in the EU area will be retail sales figures expected on Tuesday. </w:t>
            </w:r>
          </w:p>
        </w:tc>
      </w:tr>
      <w:tr>
        <w:trPr/>
        <w:tc>
          <w:tcPr>
            <w:tcW w:w="10188" w:type="dxa"/>
            <w:tcBorders>
              <w:top w:val="single" w:sz="4" w:space="0" w:color="000000"/>
              <w:start w:val="single" w:sz="4" w:space="0" w:color="000000"/>
              <w:end w:val="single" w:sz="4" w:space="0" w:color="000000"/>
            </w:tcBorders>
          </w:tcPr>
          <w:p>
            <w:pPr>
              <w:pStyle w:val="Normal"/>
              <w:numPr>
                <w:ilvl w:val="0"/>
                <w:numId w:val="2"/>
              </w:numPr>
              <w:rPr>
                <w:rFonts w:ascii="Times New Roman" w:hAnsi="Times New Roman" w:cs="Times New Roman"/>
                <w:b/>
                <w:sz w:val="22"/>
              </w:rPr>
            </w:pPr>
            <w:r>
              <w:rPr>
                <w:rFonts w:cs="Times New Roman" w:ascii="Times New Roman" w:hAnsi="Times New Roman"/>
                <w:b/>
                <w:sz w:val="22"/>
              </w:rPr>
              <w:t xml:space="preserve">The Element of Surprise: </w:t>
            </w:r>
            <w:r>
              <w:rPr>
                <w:rFonts w:cs="Times New Roman" w:ascii="Times New Roman" w:hAnsi="Times New Roman"/>
                <w:sz w:val="22"/>
              </w:rPr>
              <w:t>It’s no surprise the G-20 made no statement in support of the euro especially in light of the currency reaching new all-time lows this week. In order for any central bank intervention to be successful, it must catch the markets by surprise and be viewed as a concerted effort with the support of other major central banks.  It’s unlikely the U.S. Treasury will sell dollars to support the euro before the November elections.  But, Treasury’s decision is driven more by economics than politics.  If Treasury observes a lack of instability or the threat of excessive speculation (or an increase in short positions) at a time when the market least expected concerted support, the probability of intervention increases.  Yet, should the ECB go it alone to support the ailing currency and fail, the euro will suffer, rather paradoxically, from intervention on further deterioration in central bank credibility.  If the ECB does raise interest rates and the euro rallies that would make a concerted intervention that much more powerful and long lasting.</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b/>
                <w:i/>
                <w:i/>
                <w:sz w:val="22"/>
              </w:rPr>
            </w:pPr>
            <w:r>
              <w:rPr>
                <w:rFonts w:cs="Times New Roman" w:ascii="Times New Roman" w:hAnsi="Times New Roman"/>
                <w:b/>
                <w:i/>
                <w:sz w:val="22"/>
              </w:rPr>
            </w:r>
          </w:p>
        </w:tc>
      </w:tr>
      <w:tr>
        <w:trPr/>
        <w:tc>
          <w:tcPr>
            <w:tcW w:w="10188" w:type="dxa"/>
            <w:tcBorders>
              <w:top w:val="single" w:sz="4" w:space="0" w:color="000000"/>
              <w:start w:val="single" w:sz="4" w:space="0" w:color="000000"/>
              <w:bottom w:val="single" w:sz="4" w:space="0" w:color="000000"/>
              <w:end w:val="single" w:sz="4" w:space="0" w:color="000000"/>
            </w:tcBorders>
            <w:shd w:fill="F2F2F2" w:val="clear"/>
          </w:tcPr>
          <w:p>
            <w:pPr>
              <w:pStyle w:val="Normal"/>
              <w:rPr>
                <w:rFonts w:ascii="Times New Roman" w:hAnsi="Times New Roman" w:cs="Times New Roman"/>
                <w:b/>
                <w:i/>
                <w:i/>
                <w:sz w:val="28"/>
              </w:rPr>
            </w:pPr>
            <w:r>
              <w:rPr>
                <w:rFonts w:cs="Times New Roman" w:ascii="Times New Roman" w:hAnsi="Times New Roman"/>
                <w:b/>
                <w:i/>
                <w:sz w:val="28"/>
              </w:rPr>
              <w:t xml:space="preserve">Asia/Pacific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3"/>
              </w:numPr>
              <w:rPr>
                <w:rFonts w:ascii="Times New Roman" w:hAnsi="Times New Roman" w:cs="Times New Roman"/>
                <w:sz w:val="22"/>
              </w:rPr>
            </w:pPr>
            <w:r>
              <w:rPr>
                <w:rFonts w:cs="Times New Roman" w:ascii="Times New Roman" w:hAnsi="Times New Roman"/>
                <w:b/>
                <w:sz w:val="22"/>
              </w:rPr>
              <w:t>Euro-denominated revenue hits Japanese manufacturers</w:t>
            </w:r>
            <w:r>
              <w:rPr>
                <w:rFonts w:cs="Times New Roman" w:ascii="Times New Roman" w:hAnsi="Times New Roman"/>
                <w:sz w:val="22"/>
              </w:rPr>
              <w:t xml:space="preserve">: Profits at Japan’s electronics manufacturer’s and car producers are being squeezed by euro weakness. By taking uncovered bets on Eur/Y, many companies can expect falling profits, which will only exacerbate falling equity prices in Japan.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3"/>
              </w:numPr>
              <w:rPr>
                <w:rFonts w:ascii="Times New Roman" w:hAnsi="Times New Roman" w:cs="Times New Roman"/>
                <w:b/>
                <w:sz w:val="22"/>
              </w:rPr>
            </w:pPr>
            <w:r>
              <w:rPr>
                <w:rFonts w:cs="Times New Roman" w:ascii="Times New Roman" w:hAnsi="Times New Roman"/>
                <w:b/>
                <w:sz w:val="22"/>
              </w:rPr>
              <w:t xml:space="preserve">Japan Economic Outlook: </w:t>
            </w:r>
            <w:r>
              <w:rPr>
                <w:rFonts w:cs="Times New Roman" w:ascii="Times New Roman" w:hAnsi="Times New Roman"/>
                <w:sz w:val="22"/>
              </w:rPr>
              <w:t xml:space="preserve">Despite slowing growth in the US and Europe, the Japanese economic recovery is likely to accelerate rather than slow down on evidence from the MITI survey of manufacturers forecasts.  Yet, high oil prices, weakness in U.S. high-tech spending, and slowing growth have been reflected in sell-offs in the equity markets.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3"/>
              </w:numPr>
              <w:rPr>
                <w:rFonts w:ascii="Times New Roman" w:hAnsi="Times New Roman" w:cs="Times New Roman"/>
                <w:b/>
                <w:sz w:val="22"/>
              </w:rPr>
            </w:pPr>
            <w:r>
              <w:rPr>
                <w:rFonts w:cs="Times New Roman" w:ascii="Times New Roman" w:hAnsi="Times New Roman"/>
                <w:b/>
                <w:sz w:val="22"/>
              </w:rPr>
              <w:t xml:space="preserve">Price-Keeping Operations (PKO): </w:t>
            </w:r>
            <w:r>
              <w:rPr>
                <w:rFonts w:cs="Times New Roman" w:ascii="Times New Roman" w:hAnsi="Times New Roman"/>
                <w:sz w:val="22"/>
              </w:rPr>
              <w:t>Past</w:t>
            </w:r>
            <w:r>
              <w:rPr>
                <w:rFonts w:cs="Times New Roman" w:ascii="Times New Roman" w:hAnsi="Times New Roman"/>
                <w:b/>
                <w:sz w:val="22"/>
              </w:rPr>
              <w:t xml:space="preserve"> </w:t>
            </w:r>
            <w:r>
              <w:rPr>
                <w:rFonts w:cs="Times New Roman" w:ascii="Times New Roman" w:hAnsi="Times New Roman"/>
                <w:sz w:val="22"/>
              </w:rPr>
              <w:t xml:space="preserve">government interventions in the Japanese stock market have been carried out by the Postal Savings System, which falls under the Ministry of Finance (MOF).  With a sustained move below 15,000 for the Nikkei and 1,400 for the Topix, which is more closely aligned with Japanese banks’ portfolios than the Nikkei that is heavily weighted toward tech stocks, the government may be forced to support these markets.  Below these key levels of the Nikkei and Topix, Japanese banks fail to meet their 8% capital adequacy requirements, which is mandated by the BIS.  Even though the Nikkei fell below the 15,000 mark for three consecutive days this week, and the Topix finished the week at 1,400.27, its lowest closing level this year, to our knowledge MOF has not yet approved intervention.  Without sufficient capital, Japanese banks can not lend, which adds a shadow over its nascent recovery.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3"/>
              </w:numPr>
              <w:rPr>
                <w:rFonts w:ascii="Times New Roman" w:hAnsi="Times New Roman" w:cs="Times New Roman"/>
                <w:b/>
                <w:sz w:val="22"/>
              </w:rPr>
            </w:pPr>
            <w:r>
              <w:rPr>
                <w:rFonts w:cs="Times New Roman" w:ascii="Times New Roman" w:hAnsi="Times New Roman"/>
                <w:b/>
                <w:sz w:val="22"/>
              </w:rPr>
              <w:t xml:space="preserve">Japan’s Troubled Banking Sector: </w:t>
            </w:r>
            <w:r>
              <w:rPr>
                <w:rFonts w:cs="Times New Roman" w:ascii="Times New Roman" w:hAnsi="Times New Roman"/>
                <w:sz w:val="22"/>
              </w:rPr>
              <w:t xml:space="preserve">Concerns about dwindling safety nets for banks continue as the government announces it will terminate the system of replenishing banks’ capital with public funds on March 31, 2001.  After this date, if banks fail to meet their capital adequacy requirements, there will be increased challenges to an already frail banking system that poses potential threats to new investment in Japan. The Japanese banks are not the only financial institutions that are in trouble.  </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9"/>
              </w:numPr>
              <w:rPr>
                <w:rFonts w:ascii="Times New Roman" w:hAnsi="Times New Roman" w:cs="Times New Roman"/>
                <w:sz w:val="22"/>
              </w:rPr>
            </w:pPr>
            <w:r>
              <w:rPr>
                <w:rFonts w:cs="Times New Roman" w:ascii="Times New Roman" w:hAnsi="Times New Roman"/>
                <w:b/>
                <w:sz w:val="22"/>
              </w:rPr>
              <w:t>Japan’s Troubled Insurance Sector</w:t>
            </w:r>
            <w:r>
              <w:rPr>
                <w:rFonts w:cs="Times New Roman" w:ascii="Times New Roman" w:hAnsi="Times New Roman"/>
                <w:sz w:val="22"/>
              </w:rPr>
              <w:t xml:space="preserve">: Following the collapse of Kyoei Life and Chiyoda Life in the last two weeks, Japan’s chief financial oversight agency, the Financial Services Agency (FSA), wants companies to disclose additional information about their financial condition.  Fears are that insurance safety nets in Japan will not be large enough to pay depositors or the liabilities of failed insurance providers and that the government may have to step in, further adding to Japan’s mounting public debt, which stands at 130 percent of GDP. </w:t>
            </w:r>
          </w:p>
        </w:tc>
      </w:tr>
    </w:tbl>
    <w:p>
      <w:pPr>
        <w:pStyle w:val="Normal"/>
        <w:spacing w:lineRule="auto" w:line="480"/>
        <w:rPr>
          <w:rFonts w:ascii="Times New Roman" w:hAnsi="Times New Roman" w:cs="Times New Roman"/>
          <w:sz w:val="22"/>
        </w:rPr>
      </w:pPr>
      <w:r>
        <w:rPr>
          <w:rFonts w:cs="Times New Roman" w:ascii="Times New Roman" w:hAnsi="Times New Roman"/>
          <w:sz w:val="22"/>
        </w:rPr>
      </w:r>
    </w:p>
    <w:tbl>
      <w:tblPr>
        <w:tblW w:w="10188" w:type="dxa"/>
        <w:jc w:val="start"/>
        <w:tblInd w:w="0" w:type="dxa"/>
        <w:tblLayout w:type="fixed"/>
        <w:tblCellMar>
          <w:top w:w="0" w:type="dxa"/>
          <w:start w:w="108" w:type="dxa"/>
          <w:bottom w:w="0" w:type="dxa"/>
          <w:end w:w="108" w:type="dxa"/>
        </w:tblCellMar>
      </w:tblPr>
      <w:tblGrid>
        <w:gridCol w:w="10188"/>
      </w:tblGrid>
      <w:tr>
        <w:trPr/>
        <w:tc>
          <w:tcPr>
            <w:tcW w:w="10188" w:type="dxa"/>
            <w:tcBorders>
              <w:top w:val="single" w:sz="4" w:space="0" w:color="000000"/>
              <w:start w:val="single" w:sz="4" w:space="0" w:color="000000"/>
              <w:bottom w:val="single" w:sz="4" w:space="0" w:color="000000"/>
              <w:end w:val="single" w:sz="4" w:space="0" w:color="000000"/>
            </w:tcBorders>
            <w:shd w:fill="0000FF" w:val="clear"/>
          </w:tcPr>
          <w:p>
            <w:pPr>
              <w:pStyle w:val="Normal"/>
              <w:rPr>
                <w:rFonts w:ascii="Times New Roman" w:hAnsi="Times New Roman" w:cs="Times New Roman"/>
                <w:b/>
                <w:color w:val="FFFFFF"/>
                <w:sz w:val="28"/>
              </w:rPr>
            </w:pPr>
            <w:r>
              <w:rPr>
                <w:rFonts w:cs="Times New Roman" w:ascii="Times New Roman" w:hAnsi="Times New Roman"/>
                <w:b/>
                <w:color w:val="FFFFFF"/>
                <w:sz w:val="28"/>
              </w:rPr>
              <w:t xml:space="preserve">Commodities </w:t>
            </w:r>
          </w:p>
        </w:tc>
      </w:tr>
      <w:tr>
        <w:trPr/>
        <w:tc>
          <w:tcPr>
            <w:tcW w:w="10188" w:type="dxa"/>
            <w:tcBorders>
              <w:start w:val="single" w:sz="4" w:space="0" w:color="000000"/>
              <w:bottom w:val="single" w:sz="4" w:space="0" w:color="000000"/>
              <w:end w:val="single" w:sz="4" w:space="0" w:color="000000"/>
            </w:tcBorders>
          </w:tcPr>
          <w:p>
            <w:pPr>
              <w:pStyle w:val="Normal"/>
              <w:numPr>
                <w:ilvl w:val="0"/>
                <w:numId w:val="8"/>
              </w:numPr>
              <w:rPr>
                <w:rFonts w:ascii="Times New Roman" w:hAnsi="Times New Roman" w:cs="Times New Roman"/>
                <w:b/>
                <w:sz w:val="22"/>
              </w:rPr>
            </w:pPr>
            <w:r>
              <w:rPr>
                <w:rFonts w:cs="Times New Roman" w:ascii="Times New Roman" w:hAnsi="Times New Roman"/>
                <w:b/>
                <w:sz w:val="22"/>
              </w:rPr>
              <w:t xml:space="preserve">Potential Oil Disruption? </w:t>
            </w:r>
            <w:r>
              <w:rPr>
                <w:rFonts w:cs="Times New Roman" w:ascii="Times New Roman" w:hAnsi="Times New Roman"/>
                <w:sz w:val="22"/>
              </w:rPr>
              <w:t>Iraqi oil supplies could be disrupted if the UN does not agree by next Wednesday, November 1</w:t>
            </w:r>
            <w:r>
              <w:rPr>
                <w:rFonts w:cs="Times New Roman" w:ascii="Times New Roman" w:hAnsi="Times New Roman"/>
                <w:sz w:val="22"/>
                <w:vertAlign w:val="superscript"/>
              </w:rPr>
              <w:t>st</w:t>
            </w:r>
            <w:r>
              <w:rPr>
                <w:rFonts w:cs="Times New Roman" w:ascii="Times New Roman" w:hAnsi="Times New Roman"/>
                <w:sz w:val="22"/>
              </w:rPr>
              <w:t xml:space="preserve"> to an Iraqi demand that customers pay Iraq in euros for its crude oil sales. Even if the UN Security Council approves Iraq’s demand to be paid in euros and if the UN converts its US dollar escrow account into euros to process its euro payments, the new procedures will take a few weeks to setup. So, it’s still possible that Iraq may suspend exports on November 1</w:t>
            </w:r>
            <w:r>
              <w:rPr>
                <w:rFonts w:cs="Times New Roman" w:ascii="Times New Roman" w:hAnsi="Times New Roman"/>
                <w:sz w:val="22"/>
                <w:vertAlign w:val="superscript"/>
              </w:rPr>
              <w:t>st</w:t>
            </w:r>
            <w:r>
              <w:rPr>
                <w:rFonts w:cs="Times New Roman" w:ascii="Times New Roman" w:hAnsi="Times New Roman"/>
                <w:sz w:val="22"/>
              </w:rPr>
              <w:t xml:space="preserve">.  With little time remaining for the Sanctions Committee to make a decision, global supply tightness and high demand, and an U.S. presidential election in 10 days, oil markets are nervous.  However, according to the IEA, “the Saudis have said they would be able to make good if Iraq interrupts supply.”  In a bold political maneuver to snub the U.S. and to try to reduce the dominance of the U.S. dollar just before the U.S. elections, the Iraqi government has ceased transacting in U.S. dollars in favor of the euro and other currencies.   </w:t>
            </w:r>
          </w:p>
        </w:tc>
      </w:tr>
      <w:tr>
        <w:trPr/>
        <w:tc>
          <w:tcPr>
            <w:tcW w:w="10188" w:type="dxa"/>
            <w:tcBorders>
              <w:start w:val="single" w:sz="4" w:space="0" w:color="000000"/>
              <w:bottom w:val="single" w:sz="4" w:space="0" w:color="000000"/>
              <w:end w:val="single" w:sz="4" w:space="0" w:color="000000"/>
            </w:tcBorders>
          </w:tcPr>
          <w:p>
            <w:pPr>
              <w:pStyle w:val="Normal"/>
              <w:numPr>
                <w:ilvl w:val="0"/>
                <w:numId w:val="8"/>
              </w:numPr>
              <w:rPr>
                <w:rFonts w:ascii="Times New Roman" w:hAnsi="Times New Roman" w:cs="Times New Roman"/>
                <w:b/>
                <w:sz w:val="22"/>
              </w:rPr>
            </w:pPr>
            <w:r>
              <w:rPr>
                <w:rFonts w:cs="Times New Roman" w:ascii="Times New Roman" w:hAnsi="Times New Roman"/>
                <w:b/>
                <w:sz w:val="22"/>
              </w:rPr>
              <w:t xml:space="preserve">OPEC’s Trigger Finger: </w:t>
            </w:r>
            <w:r>
              <w:rPr>
                <w:rFonts w:cs="Times New Roman" w:ascii="Times New Roman" w:hAnsi="Times New Roman"/>
                <w:sz w:val="22"/>
              </w:rPr>
              <w:t>OPEC will be expected to boost daily oil production by half a million barrels on November 1</w:t>
            </w:r>
            <w:r>
              <w:rPr>
                <w:rFonts w:cs="Times New Roman" w:ascii="Times New Roman" w:hAnsi="Times New Roman"/>
                <w:sz w:val="22"/>
                <w:vertAlign w:val="superscript"/>
              </w:rPr>
              <w:t>st</w:t>
            </w:r>
            <w:r>
              <w:rPr>
                <w:rFonts w:cs="Times New Roman" w:ascii="Times New Roman" w:hAnsi="Times New Roman"/>
                <w:sz w:val="22"/>
              </w:rPr>
              <w:t xml:space="preserve"> after the 20-day high price limit of $28/B was breached on October 27</w:t>
            </w:r>
            <w:r>
              <w:rPr>
                <w:rFonts w:cs="Times New Roman" w:ascii="Times New Roman" w:hAnsi="Times New Roman"/>
                <w:sz w:val="22"/>
                <w:vertAlign w:val="superscript"/>
              </w:rPr>
              <w:t>th</w:t>
            </w:r>
            <w:r>
              <w:rPr>
                <w:rFonts w:cs="Times New Roman" w:ascii="Times New Roman" w:hAnsi="Times New Roman"/>
                <w:sz w:val="22"/>
              </w:rPr>
              <w:t>.  Under OPEC’s price control mechanism, if the basket stays above $28 for 20 consecutive trading days, OPEC has agreed to increase production by 500,000 barrels a day.  However, OPEC is divided on whether more oil should be pumped into world markets.  Saudi Oil Minister Ali al-Naimi stated that OPEC is concerned about high oil prices and might act to calm the market before its November 12</w:t>
            </w:r>
            <w:r>
              <w:rPr>
                <w:rFonts w:cs="Times New Roman" w:ascii="Times New Roman" w:hAnsi="Times New Roman"/>
                <w:sz w:val="22"/>
                <w:vertAlign w:val="superscript"/>
              </w:rPr>
              <w:t>th</w:t>
            </w:r>
            <w:r>
              <w:rPr>
                <w:rFonts w:cs="Times New Roman" w:ascii="Times New Roman" w:hAnsi="Times New Roman"/>
                <w:sz w:val="22"/>
              </w:rPr>
              <w:t xml:space="preserve"> ministerial meeting in Vienna.  ”OPEC recognizes,” al-Niami said, “that what is now needed more than anything is price stability rather than this volatility.”  As the need to stabilize oil prices grows and as decelerating U.S. GDP growth signals a potential slowdown in world demand for crude, it is likely that OPEC countries will raise production. </w:t>
            </w:r>
          </w:p>
        </w:tc>
      </w:tr>
      <w:tr>
        <w:trPr/>
        <w:tc>
          <w:tcPr>
            <w:tcW w:w="10188" w:type="dxa"/>
            <w:tcBorders>
              <w:start w:val="single" w:sz="4" w:space="0" w:color="000000"/>
              <w:bottom w:val="single" w:sz="4" w:space="0" w:color="000000"/>
              <w:end w:val="single" w:sz="4" w:space="0" w:color="000000"/>
            </w:tcBorders>
          </w:tcPr>
          <w:p>
            <w:pPr>
              <w:pStyle w:val="Normal"/>
              <w:numPr>
                <w:ilvl w:val="0"/>
                <w:numId w:val="8"/>
              </w:numPr>
              <w:rPr>
                <w:rFonts w:ascii="Times New Roman" w:hAnsi="Times New Roman" w:cs="Times New Roman"/>
                <w:b/>
                <w:sz w:val="22"/>
              </w:rPr>
            </w:pPr>
            <w:r>
              <w:rPr>
                <w:rFonts w:cs="Times New Roman" w:ascii="Times New Roman" w:hAnsi="Times New Roman"/>
                <w:b/>
                <w:sz w:val="22"/>
              </w:rPr>
              <w:t xml:space="preserve">Platinum and Palladium News: </w:t>
            </w:r>
            <w:r>
              <w:rPr>
                <w:rFonts w:cs="Times New Roman" w:ascii="Times New Roman" w:hAnsi="Times New Roman"/>
                <w:sz w:val="22"/>
              </w:rPr>
              <w:t>Russia, as the largest producer of both metals, can exercise its market power to drive up prices by limiting export rights.  RAO Norilsk Nickel this week applied for an export license for long-term platinum and rhodium, similar to the one it received for palladium last summer.  Expectations of metal shipments from Russia drove prices down.</w:t>
            </w:r>
          </w:p>
        </w:tc>
      </w:tr>
    </w:tbl>
    <w:p>
      <w:pPr>
        <w:pStyle w:val="Normal"/>
        <w:rPr>
          <w:sz w:val="22"/>
        </w:rPr>
      </w:pPr>
      <w:r>
        <w:rPr>
          <w:sz w:val="22"/>
        </w:rPr>
      </w:r>
    </w:p>
    <w:p>
      <w:pPr>
        <w:pStyle w:val="Normal"/>
        <w:rPr>
          <w:sz w:val="22"/>
        </w:rPr>
      </w:pPr>
      <w:r>
        <w:rPr>
          <w:sz w:val="22"/>
        </w:rPr>
      </w:r>
    </w:p>
    <w:tbl>
      <w:tblPr>
        <w:tblW w:w="10188" w:type="dxa"/>
        <w:jc w:val="start"/>
        <w:tblInd w:w="0" w:type="dxa"/>
        <w:tblLayout w:type="fixed"/>
        <w:tblCellMar>
          <w:top w:w="0" w:type="dxa"/>
          <w:start w:w="108" w:type="dxa"/>
          <w:bottom w:w="0" w:type="dxa"/>
          <w:end w:w="108" w:type="dxa"/>
        </w:tblCellMar>
      </w:tblPr>
      <w:tblGrid>
        <w:gridCol w:w="10188"/>
      </w:tblGrid>
      <w:tr>
        <w:trPr/>
        <w:tc>
          <w:tcPr>
            <w:tcW w:w="10188" w:type="dxa"/>
            <w:tcBorders>
              <w:top w:val="single" w:sz="4" w:space="0" w:color="000000"/>
              <w:start w:val="single" w:sz="4" w:space="0" w:color="000000"/>
              <w:bottom w:val="single" w:sz="4" w:space="0" w:color="000000"/>
              <w:end w:val="single" w:sz="4" w:space="0" w:color="000000"/>
            </w:tcBorders>
            <w:shd w:fill="0000FF" w:val="clear"/>
          </w:tcPr>
          <w:p>
            <w:pPr>
              <w:pStyle w:val="Normal"/>
              <w:rPr>
                <w:b/>
                <w:color w:val="FFFFFF"/>
                <w:sz w:val="28"/>
              </w:rPr>
            </w:pPr>
            <w:r>
              <w:rPr>
                <w:b/>
                <w:color w:val="FFFFFF"/>
                <w:sz w:val="28"/>
              </w:rPr>
              <w:t>E-Trading News</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6"/>
              </w:numPr>
              <w:rPr>
                <w:sz w:val="22"/>
              </w:rPr>
            </w:pPr>
            <w:r>
              <w:rPr>
                <w:rFonts w:cs="Times New Roman" w:ascii="Times New Roman" w:hAnsi="Times New Roman"/>
                <w:b/>
                <w:sz w:val="22"/>
              </w:rPr>
              <w:t>Metals and Mining Trading e-Strategy</w:t>
            </w:r>
            <w:r>
              <w:rPr>
                <w:rFonts w:cs="Times New Roman" w:ascii="Times New Roman" w:hAnsi="Times New Roman"/>
                <w:sz w:val="22"/>
              </w:rPr>
              <w:t>: Four major international mining and metals companies are developing a online trading platform for producers and consumers in base metals, coal, bulk ores and bulk alloys.  This         e-marketplace could rival the London Metals Exchange (LME) if it succeeds.  Global Coal, one of the new          e-marketspace plans, is expected to start operating within four months, with start-up costs of $10 million.</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6"/>
              </w:numPr>
              <w:rPr>
                <w:rFonts w:ascii="Times New Roman" w:hAnsi="Times New Roman" w:cs="Times New Roman"/>
                <w:b/>
                <w:sz w:val="22"/>
              </w:rPr>
            </w:pPr>
            <w:r>
              <w:rPr>
                <w:rFonts w:cs="Times New Roman" w:ascii="Times New Roman" w:hAnsi="Times New Roman"/>
                <w:b/>
                <w:sz w:val="22"/>
              </w:rPr>
              <w:t xml:space="preserve">Agriculture e-strategy: </w:t>
            </w:r>
            <w:r>
              <w:rPr>
                <w:rFonts w:cs="Times New Roman" w:ascii="Times New Roman" w:hAnsi="Times New Roman"/>
                <w:sz w:val="22"/>
              </w:rPr>
              <w:t>A new online trading exchange is being created by Archer Daniels Midland, Cargill, and Louis Dreyfus, three of the largest agricultural trading firms.  The new electronic marketplace for cash trading in grains, oilseeds and commodity by-products will be called Pradium. Trading will begin in corn, soya beans and certain by-products while future products will include wheat, soya bean meal, oats, and barley.  Pradium will compete with CyberCrop.com, an online trade platform for cash commodities. Pradium will need to convince farmers, an important third-party to online trading of ag-products, of the benefits of trading with the biggest firms.</w:t>
            </w:r>
          </w:p>
        </w:tc>
      </w:tr>
      <w:tr>
        <w:trPr/>
        <w:tc>
          <w:tcPr>
            <w:tcW w:w="10188" w:type="dxa"/>
            <w:tcBorders>
              <w:top w:val="single" w:sz="4" w:space="0" w:color="000000"/>
              <w:start w:val="single" w:sz="4" w:space="0" w:color="000000"/>
              <w:bottom w:val="single" w:sz="4" w:space="0" w:color="000000"/>
              <w:end w:val="single" w:sz="4" w:space="0" w:color="000000"/>
            </w:tcBorders>
          </w:tcPr>
          <w:p>
            <w:pPr>
              <w:pStyle w:val="Normal"/>
              <w:numPr>
                <w:ilvl w:val="0"/>
                <w:numId w:val="6"/>
              </w:numPr>
              <w:rPr>
                <w:rFonts w:ascii="Times New Roman" w:hAnsi="Times New Roman" w:cs="Times New Roman"/>
                <w:b/>
                <w:sz w:val="22"/>
              </w:rPr>
            </w:pPr>
            <w:r>
              <w:rPr>
                <w:rFonts w:cs="Times New Roman" w:ascii="Times New Roman" w:hAnsi="Times New Roman"/>
                <w:b/>
                <w:sz w:val="22"/>
              </w:rPr>
              <w:t>Foreign Exchange (FX) e-Strategy</w:t>
            </w:r>
            <w:r>
              <w:rPr>
                <w:rFonts w:cs="Times New Roman" w:ascii="Times New Roman" w:hAnsi="Times New Roman"/>
                <w:sz w:val="22"/>
              </w:rPr>
              <w:t>: Competition is fierce in the race to develop an online trading platform to capture a majority share of the $1,500 billion daily FX market.  This week, 50 banks led by the largest FX players (Chase, Citibank and Deutsche Bank) decided to sign up for the Atriax online FX trading platform in alliance with Reuters. These 50 banks reportedly account for more than half of all daily FX trades.  Two systems that rival Atriax are State Street’s FX Connect and Fxall, a planned online system that includes Goldman Sachs as a member.  A shift from voice to online trading is expected to cut transaction costs for corporates and institutional investors. The CEO of Atriax expects one third of all FX trading to be conducted online in two years time.</w:t>
            </w:r>
          </w:p>
        </w:tc>
      </w:tr>
    </w:tbl>
    <w:p>
      <w:pPr>
        <w:pStyle w:val="Normal"/>
        <w:rPr>
          <w:sz w:val="22"/>
        </w:rPr>
      </w:pPr>
      <w:r>
        <w:rPr>
          <w:sz w:val="22"/>
        </w:rPr>
      </w:r>
    </w:p>
    <w:p>
      <w:pPr>
        <w:pStyle w:val="Normal"/>
        <w:rPr>
          <w:sz w:val="22"/>
        </w:rPr>
      </w:pPr>
      <w:r>
        <w:rPr>
          <w:sz w:val="22"/>
        </w:rPr>
      </w:r>
    </w:p>
    <w:tbl>
      <w:tblPr>
        <w:tblW w:w="10188" w:type="dxa"/>
        <w:jc w:val="start"/>
        <w:tblInd w:w="0" w:type="dxa"/>
        <w:tblLayout w:type="fixed"/>
        <w:tblCellMar>
          <w:top w:w="0" w:type="dxa"/>
          <w:start w:w="108" w:type="dxa"/>
          <w:bottom w:w="0" w:type="dxa"/>
          <w:end w:w="108" w:type="dxa"/>
        </w:tblCellMar>
      </w:tblPr>
      <w:tblGrid>
        <w:gridCol w:w="1458"/>
        <w:gridCol w:w="1800"/>
        <w:gridCol w:w="1170"/>
        <w:gridCol w:w="2070"/>
        <w:gridCol w:w="2070"/>
        <w:gridCol w:w="1620"/>
      </w:tblGrid>
      <w:tr>
        <w:trPr/>
        <w:tc>
          <w:tcPr>
            <w:tcW w:w="10188" w:type="dxa"/>
            <w:gridSpan w:val="6"/>
            <w:tcBorders>
              <w:top w:val="single" w:sz="4" w:space="0" w:color="000000"/>
              <w:start w:val="single" w:sz="4" w:space="0" w:color="000000"/>
              <w:end w:val="single" w:sz="4" w:space="0" w:color="000000"/>
            </w:tcBorders>
            <w:shd w:fill="0000FF" w:val="clear"/>
          </w:tcPr>
          <w:p>
            <w:pPr>
              <w:pStyle w:val="Normal"/>
              <w:rPr>
                <w:b/>
                <w:color w:val="FFFFFF"/>
                <w:sz w:val="28"/>
              </w:rPr>
            </w:pPr>
            <w:r>
              <w:rPr>
                <w:b/>
                <w:color w:val="FFFFFF"/>
                <w:sz w:val="28"/>
              </w:rPr>
              <w:t>G-7+ Central Bank Monitor</w:t>
            </w:r>
          </w:p>
        </w:tc>
      </w:tr>
      <w:tr>
        <w:trPr/>
        <w:tc>
          <w:tcPr>
            <w:tcW w:w="1458" w:type="dxa"/>
            <w:tcBorders>
              <w:top w:val="single" w:sz="4" w:space="0" w:color="000000"/>
              <w:start w:val="single" w:sz="4" w:space="0" w:color="000000"/>
              <w:end w:val="single" w:sz="4" w:space="0" w:color="000000"/>
            </w:tcBorders>
          </w:tcPr>
          <w:p>
            <w:pPr>
              <w:pStyle w:val="Normal"/>
              <w:jc w:val="center"/>
              <w:rPr/>
            </w:pPr>
            <w:r>
              <w:rPr/>
              <w:t>Country</w:t>
            </w:r>
          </w:p>
        </w:tc>
        <w:tc>
          <w:tcPr>
            <w:tcW w:w="1800" w:type="dxa"/>
            <w:tcBorders>
              <w:top w:val="single" w:sz="4" w:space="0" w:color="000000"/>
              <w:start w:val="single" w:sz="4" w:space="0" w:color="000000"/>
              <w:end w:val="single" w:sz="4" w:space="0" w:color="000000"/>
            </w:tcBorders>
          </w:tcPr>
          <w:p>
            <w:pPr>
              <w:pStyle w:val="Normal"/>
              <w:jc w:val="center"/>
              <w:rPr/>
            </w:pPr>
            <w:r>
              <w:rPr/>
              <w:t>Official Interest Rate</w:t>
            </w:r>
          </w:p>
        </w:tc>
        <w:tc>
          <w:tcPr>
            <w:tcW w:w="1170" w:type="dxa"/>
            <w:tcBorders>
              <w:top w:val="single" w:sz="4" w:space="0" w:color="000000"/>
              <w:start w:val="single" w:sz="4" w:space="0" w:color="000000"/>
              <w:end w:val="single" w:sz="4" w:space="0" w:color="000000"/>
            </w:tcBorders>
          </w:tcPr>
          <w:p>
            <w:pPr>
              <w:pStyle w:val="Normal"/>
              <w:jc w:val="center"/>
              <w:rPr/>
            </w:pPr>
            <w:r>
              <w:rPr/>
              <w:t>Current (%)</w:t>
            </w:r>
          </w:p>
        </w:tc>
        <w:tc>
          <w:tcPr>
            <w:tcW w:w="2070" w:type="dxa"/>
            <w:tcBorders>
              <w:top w:val="single" w:sz="4" w:space="0" w:color="000000"/>
              <w:start w:val="single" w:sz="4" w:space="0" w:color="000000"/>
              <w:end w:val="single" w:sz="4" w:space="0" w:color="000000"/>
            </w:tcBorders>
          </w:tcPr>
          <w:p>
            <w:pPr>
              <w:pStyle w:val="Normal"/>
              <w:jc w:val="center"/>
              <w:rPr/>
            </w:pPr>
            <w:r>
              <w:rPr/>
              <w:t xml:space="preserve">Change from prev. bias </w:t>
            </w:r>
          </w:p>
        </w:tc>
        <w:tc>
          <w:tcPr>
            <w:tcW w:w="2070" w:type="dxa"/>
            <w:tcBorders>
              <w:top w:val="single" w:sz="4" w:space="0" w:color="000000"/>
              <w:start w:val="single" w:sz="4" w:space="0" w:color="000000"/>
              <w:end w:val="single" w:sz="4" w:space="0" w:color="000000"/>
            </w:tcBorders>
          </w:tcPr>
          <w:p>
            <w:pPr>
              <w:pStyle w:val="Normal"/>
              <w:jc w:val="center"/>
              <w:rPr/>
            </w:pPr>
            <w:r>
              <w:rPr/>
              <w:t xml:space="preserve">Last Change </w:t>
            </w:r>
          </w:p>
        </w:tc>
        <w:tc>
          <w:tcPr>
            <w:tcW w:w="1620" w:type="dxa"/>
            <w:tcBorders>
              <w:top w:val="single" w:sz="4" w:space="0" w:color="000000"/>
              <w:start w:val="single" w:sz="4" w:space="0" w:color="000000"/>
              <w:end w:val="single" w:sz="4" w:space="0" w:color="000000"/>
            </w:tcBorders>
          </w:tcPr>
          <w:p>
            <w:pPr>
              <w:pStyle w:val="Normal"/>
              <w:jc w:val="center"/>
              <w:rPr>
                <w:color w:val="FF0000"/>
              </w:rPr>
            </w:pPr>
            <w:r>
              <w:rPr/>
              <w:t>Next MPC Mtg.</w:t>
            </w:r>
          </w:p>
        </w:tc>
      </w:tr>
      <w:tr>
        <w:trPr/>
        <w:tc>
          <w:tcPr>
            <w:tcW w:w="10188" w:type="dxa"/>
            <w:gridSpan w:val="6"/>
            <w:tcBorders>
              <w:top w:val="single" w:sz="4" w:space="0" w:color="000000"/>
              <w:start w:val="single" w:sz="4" w:space="0" w:color="000000"/>
              <w:bottom w:val="single" w:sz="4" w:space="0" w:color="000000"/>
              <w:end w:val="single" w:sz="4" w:space="0" w:color="000000"/>
            </w:tcBorders>
            <w:shd w:fill="F2F2F2" w:val="clear"/>
          </w:tcPr>
          <w:p>
            <w:pPr>
              <w:pStyle w:val="Normal"/>
              <w:rPr>
                <w:i/>
                <w:i/>
                <w:sz w:val="22"/>
              </w:rPr>
            </w:pPr>
            <w:r>
              <w:rPr>
                <w:i/>
                <w:sz w:val="22"/>
              </w:rPr>
              <w:t>The Americas</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United States</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Federal funds rate</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6.50</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30 Jun 99 (+175 bps)</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16 May 00 (+50bps)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15 Nov 2000</w:t>
            </w:r>
          </w:p>
        </w:tc>
      </w:tr>
      <w:tr>
        <w:trPr/>
        <w:tc>
          <w:tcPr>
            <w:tcW w:w="1458" w:type="dxa"/>
            <w:tcBorders>
              <w:top w:val="single" w:sz="4" w:space="0" w:color="000000"/>
              <w:start w:val="single" w:sz="4" w:space="0" w:color="000000"/>
              <w:end w:val="single" w:sz="4" w:space="0" w:color="000000"/>
            </w:tcBorders>
          </w:tcPr>
          <w:p>
            <w:pPr>
              <w:pStyle w:val="Normal"/>
              <w:rPr>
                <w:b/>
                <w:sz w:val="22"/>
              </w:rPr>
            </w:pPr>
            <w:r>
              <w:rPr>
                <w:b/>
                <w:sz w:val="22"/>
              </w:rPr>
              <w:t>Canada</w:t>
            </w:r>
          </w:p>
        </w:tc>
        <w:tc>
          <w:tcPr>
            <w:tcW w:w="1800" w:type="dxa"/>
            <w:tcBorders>
              <w:top w:val="single" w:sz="4" w:space="0" w:color="000000"/>
              <w:start w:val="single" w:sz="4" w:space="0" w:color="000000"/>
              <w:end w:val="single" w:sz="4" w:space="0" w:color="000000"/>
            </w:tcBorders>
          </w:tcPr>
          <w:p>
            <w:pPr>
              <w:pStyle w:val="Normal"/>
              <w:rPr>
                <w:sz w:val="22"/>
              </w:rPr>
            </w:pPr>
            <w:r>
              <w:rPr>
                <w:sz w:val="22"/>
              </w:rPr>
              <w:t>Overnight rate</w:t>
            </w:r>
          </w:p>
        </w:tc>
        <w:tc>
          <w:tcPr>
            <w:tcW w:w="1170" w:type="dxa"/>
            <w:tcBorders>
              <w:top w:val="single" w:sz="4" w:space="0" w:color="000000"/>
              <w:start w:val="single" w:sz="4" w:space="0" w:color="000000"/>
              <w:end w:val="single" w:sz="4" w:space="0" w:color="000000"/>
            </w:tcBorders>
          </w:tcPr>
          <w:p>
            <w:pPr>
              <w:pStyle w:val="Normal"/>
              <w:jc w:val="center"/>
              <w:rPr>
                <w:sz w:val="22"/>
              </w:rPr>
            </w:pPr>
            <w:r>
              <w:rPr>
                <w:sz w:val="22"/>
              </w:rPr>
              <w:t>5.75</w:t>
            </w:r>
          </w:p>
        </w:tc>
        <w:tc>
          <w:tcPr>
            <w:tcW w:w="2070" w:type="dxa"/>
            <w:tcBorders>
              <w:top w:val="single" w:sz="4" w:space="0" w:color="000000"/>
              <w:start w:val="single" w:sz="4" w:space="0" w:color="000000"/>
              <w:end w:val="single" w:sz="4" w:space="0" w:color="000000"/>
            </w:tcBorders>
          </w:tcPr>
          <w:p>
            <w:pPr>
              <w:pStyle w:val="Normal"/>
              <w:rPr>
                <w:sz w:val="22"/>
              </w:rPr>
            </w:pPr>
            <w:r>
              <w:rPr>
                <w:rFonts w:eastAsia="Garamond"/>
                <w:sz w:val="22"/>
              </w:rPr>
              <w:t xml:space="preserve"> </w:t>
            </w:r>
            <w:r>
              <w:rPr>
                <w:sz w:val="22"/>
              </w:rPr>
              <w:t>3 May 99 (+125 bps)</w:t>
            </w:r>
          </w:p>
        </w:tc>
        <w:tc>
          <w:tcPr>
            <w:tcW w:w="2070" w:type="dxa"/>
            <w:tcBorders>
              <w:top w:val="single" w:sz="4" w:space="0" w:color="000000"/>
              <w:start w:val="single" w:sz="4" w:space="0" w:color="000000"/>
              <w:end w:val="single" w:sz="4" w:space="0" w:color="000000"/>
            </w:tcBorders>
          </w:tcPr>
          <w:p>
            <w:pPr>
              <w:pStyle w:val="Normal"/>
              <w:rPr>
                <w:sz w:val="22"/>
              </w:rPr>
            </w:pPr>
            <w:r>
              <w:rPr>
                <w:sz w:val="22"/>
              </w:rPr>
              <w:t>17 May 00 (+50bps)</w:t>
            </w:r>
          </w:p>
        </w:tc>
        <w:tc>
          <w:tcPr>
            <w:tcW w:w="1620" w:type="dxa"/>
            <w:tcBorders>
              <w:top w:val="single" w:sz="4" w:space="0" w:color="000000"/>
              <w:start w:val="single" w:sz="4" w:space="0" w:color="000000"/>
              <w:end w:val="single" w:sz="4" w:space="0" w:color="000000"/>
            </w:tcBorders>
          </w:tcPr>
          <w:p>
            <w:pPr>
              <w:pStyle w:val="Normal"/>
              <w:jc w:val="center"/>
              <w:rPr>
                <w:sz w:val="22"/>
              </w:rPr>
            </w:pPr>
            <w:r>
              <w:rPr>
                <w:sz w:val="22"/>
              </w:rPr>
              <w:t>7 Dec 2000</w:t>
            </w:r>
          </w:p>
        </w:tc>
      </w:tr>
      <w:tr>
        <w:trPr/>
        <w:tc>
          <w:tcPr>
            <w:tcW w:w="10188" w:type="dxa"/>
            <w:gridSpan w:val="6"/>
            <w:tcBorders>
              <w:top w:val="single" w:sz="4" w:space="0" w:color="000000"/>
              <w:start w:val="single" w:sz="4" w:space="0" w:color="000000"/>
              <w:bottom w:val="single" w:sz="4" w:space="0" w:color="000000"/>
              <w:end w:val="single" w:sz="4" w:space="0" w:color="000000"/>
            </w:tcBorders>
            <w:shd w:fill="F2F2F2" w:val="clear"/>
          </w:tcPr>
          <w:p>
            <w:pPr>
              <w:pStyle w:val="Normal"/>
              <w:rPr>
                <w:i/>
                <w:i/>
                <w:sz w:val="22"/>
              </w:rPr>
            </w:pPr>
            <w:r>
              <w:rPr>
                <w:i/>
                <w:sz w:val="22"/>
              </w:rPr>
              <w:t xml:space="preserve">Europe </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ECB</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ECB rate</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sz w:val="22"/>
                <w:vertAlign w:val="superscript"/>
              </w:rPr>
            </w:pPr>
            <w:r>
              <w:rPr>
                <w:sz w:val="22"/>
              </w:rPr>
              <w:t xml:space="preserve">4.75 </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4 Nov 99 (+225 bps)</w:t>
            </w:r>
          </w:p>
        </w:tc>
        <w:tc>
          <w:tcPr>
            <w:tcW w:w="2070" w:type="dxa"/>
            <w:tcBorders>
              <w:top w:val="single" w:sz="4" w:space="0" w:color="000000"/>
              <w:start w:val="single" w:sz="4" w:space="0" w:color="000000"/>
              <w:bottom w:val="single" w:sz="4" w:space="0" w:color="000000"/>
              <w:end w:val="single" w:sz="4" w:space="0" w:color="000000"/>
            </w:tcBorders>
          </w:tcPr>
          <w:p>
            <w:pPr>
              <w:pStyle w:val="Normal"/>
              <w:rPr/>
            </w:pPr>
            <w:r>
              <w:rPr>
                <w:rFonts w:eastAsia="Garamond"/>
                <w:color w:val="FF0000"/>
                <w:sz w:val="22"/>
              </w:rPr>
              <w:t xml:space="preserve"> </w:t>
            </w:r>
            <w:r>
              <w:rPr>
                <w:sz w:val="22"/>
              </w:rPr>
              <w:t>5 Oct 00 (+25 bps)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rFonts w:eastAsia="Garamond"/>
                <w:sz w:val="22"/>
              </w:rPr>
              <w:t xml:space="preserve"> </w:t>
            </w:r>
            <w:r>
              <w:rPr>
                <w:sz w:val="22"/>
              </w:rPr>
              <w:t>2 Nov 2000</w:t>
            </w:r>
          </w:p>
        </w:tc>
      </w:tr>
      <w:tr>
        <w:trPr/>
        <w:tc>
          <w:tcPr>
            <w:tcW w:w="1458" w:type="dxa"/>
            <w:tcBorders>
              <w:top w:val="single" w:sz="4" w:space="0" w:color="000000"/>
              <w:start w:val="single" w:sz="4" w:space="0" w:color="000000"/>
              <w:end w:val="single" w:sz="4" w:space="0" w:color="000000"/>
            </w:tcBorders>
          </w:tcPr>
          <w:p>
            <w:pPr>
              <w:pStyle w:val="Normal"/>
              <w:rPr>
                <w:b/>
                <w:sz w:val="22"/>
              </w:rPr>
            </w:pPr>
            <w:r>
              <w:rPr>
                <w:b/>
                <w:sz w:val="22"/>
              </w:rPr>
              <w:t>U.K.</w:t>
            </w:r>
          </w:p>
        </w:tc>
        <w:tc>
          <w:tcPr>
            <w:tcW w:w="1800" w:type="dxa"/>
            <w:tcBorders>
              <w:top w:val="single" w:sz="4" w:space="0" w:color="000000"/>
              <w:start w:val="single" w:sz="4" w:space="0" w:color="000000"/>
              <w:end w:val="single" w:sz="4" w:space="0" w:color="000000"/>
            </w:tcBorders>
          </w:tcPr>
          <w:p>
            <w:pPr>
              <w:pStyle w:val="Normal"/>
              <w:rPr>
                <w:sz w:val="22"/>
              </w:rPr>
            </w:pPr>
            <w:r>
              <w:rPr>
                <w:sz w:val="22"/>
              </w:rPr>
              <w:t>Base rate</w:t>
            </w:r>
          </w:p>
        </w:tc>
        <w:tc>
          <w:tcPr>
            <w:tcW w:w="1170" w:type="dxa"/>
            <w:tcBorders>
              <w:top w:val="single" w:sz="4" w:space="0" w:color="000000"/>
              <w:start w:val="single" w:sz="4" w:space="0" w:color="000000"/>
              <w:end w:val="single" w:sz="4" w:space="0" w:color="000000"/>
            </w:tcBorders>
          </w:tcPr>
          <w:p>
            <w:pPr>
              <w:pStyle w:val="Normal"/>
              <w:jc w:val="center"/>
              <w:rPr>
                <w:sz w:val="22"/>
              </w:rPr>
            </w:pPr>
            <w:r>
              <w:rPr>
                <w:sz w:val="22"/>
              </w:rPr>
              <w:t>6.00</w:t>
            </w:r>
          </w:p>
        </w:tc>
        <w:tc>
          <w:tcPr>
            <w:tcW w:w="2070" w:type="dxa"/>
            <w:tcBorders>
              <w:top w:val="single" w:sz="4" w:space="0" w:color="000000"/>
              <w:start w:val="single" w:sz="4" w:space="0" w:color="000000"/>
              <w:end w:val="single" w:sz="4" w:space="0" w:color="000000"/>
            </w:tcBorders>
          </w:tcPr>
          <w:p>
            <w:pPr>
              <w:pStyle w:val="Normal"/>
              <w:rPr>
                <w:sz w:val="22"/>
              </w:rPr>
            </w:pPr>
            <w:r>
              <w:rPr>
                <w:sz w:val="22"/>
              </w:rPr>
              <w:t>8 May 99 (+100 bps)</w:t>
            </w:r>
          </w:p>
        </w:tc>
        <w:tc>
          <w:tcPr>
            <w:tcW w:w="2070" w:type="dxa"/>
            <w:tcBorders>
              <w:top w:val="single" w:sz="4" w:space="0" w:color="000000"/>
              <w:start w:val="single" w:sz="4" w:space="0" w:color="000000"/>
              <w:end w:val="single" w:sz="4" w:space="0" w:color="000000"/>
            </w:tcBorders>
          </w:tcPr>
          <w:p>
            <w:pPr>
              <w:pStyle w:val="Normal"/>
              <w:rPr>
                <w:sz w:val="22"/>
              </w:rPr>
            </w:pPr>
            <w:r>
              <w:rPr>
                <w:sz w:val="22"/>
              </w:rPr>
              <w:t>10 Feb 00 (+25 bps)</w:t>
            </w:r>
          </w:p>
        </w:tc>
        <w:tc>
          <w:tcPr>
            <w:tcW w:w="1620" w:type="dxa"/>
            <w:tcBorders>
              <w:top w:val="single" w:sz="4" w:space="0" w:color="000000"/>
              <w:start w:val="single" w:sz="4" w:space="0" w:color="000000"/>
              <w:end w:val="single" w:sz="4" w:space="0" w:color="000000"/>
            </w:tcBorders>
          </w:tcPr>
          <w:p>
            <w:pPr>
              <w:pStyle w:val="Normal"/>
              <w:jc w:val="center"/>
              <w:rPr>
                <w:sz w:val="22"/>
              </w:rPr>
            </w:pPr>
            <w:r>
              <w:rPr>
                <w:sz w:val="22"/>
              </w:rPr>
              <w:t>8 Nov 2000</w:t>
            </w:r>
          </w:p>
        </w:tc>
      </w:tr>
      <w:tr>
        <w:trPr/>
        <w:tc>
          <w:tcPr>
            <w:tcW w:w="10188" w:type="dxa"/>
            <w:gridSpan w:val="6"/>
            <w:tcBorders>
              <w:top w:val="single" w:sz="4" w:space="0" w:color="000000"/>
              <w:start w:val="single" w:sz="4" w:space="0" w:color="000000"/>
              <w:bottom w:val="single" w:sz="4" w:space="0" w:color="000000"/>
              <w:end w:val="single" w:sz="4" w:space="0" w:color="000000"/>
            </w:tcBorders>
            <w:shd w:fill="F2F2F2" w:val="clear"/>
          </w:tcPr>
          <w:p>
            <w:pPr>
              <w:pStyle w:val="Normal"/>
              <w:rPr>
                <w:i/>
                <w:i/>
                <w:sz w:val="22"/>
              </w:rPr>
            </w:pPr>
            <w:r>
              <w:rPr>
                <w:i/>
                <w:sz w:val="22"/>
              </w:rPr>
              <w:t>Asia/Pacific</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Australia</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RBA Cash rate</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6.25</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2"/>
              </w:rPr>
            </w:pPr>
            <w:r>
              <w:rPr>
                <w:rFonts w:eastAsia="Garamond"/>
                <w:sz w:val="22"/>
              </w:rPr>
              <w:t xml:space="preserve"> </w:t>
            </w:r>
            <w:r>
              <w:rPr>
                <w:sz w:val="22"/>
              </w:rPr>
              <w:t>2 Nov 99 (+150 bps)</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2"/>
              </w:rPr>
            </w:pPr>
            <w:r>
              <w:rPr>
                <w:rFonts w:eastAsia="Garamond"/>
                <w:sz w:val="22"/>
              </w:rPr>
              <w:t xml:space="preserve"> </w:t>
            </w:r>
            <w:r>
              <w:rPr>
                <w:sz w:val="22"/>
              </w:rPr>
              <w:t>2 Aug 00 (25 bps)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7 Nov 2000</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New Zealand</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Cash rate</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6.50</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16 Nov 99 (+200 bps)</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17 May 00 (+50 bps)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5 Dec 2000</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Japan</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Overnight call rate</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0.25</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17 Aug 00 (+24 bps)</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17 Aug 00 (+25 bps)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29 Oct 2000</w:t>
            </w:r>
          </w:p>
        </w:tc>
      </w:tr>
    </w:tbl>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tbl>
      <w:tblPr>
        <w:tblW w:w="10368" w:type="dxa"/>
        <w:jc w:val="start"/>
        <w:tblInd w:w="0" w:type="dxa"/>
        <w:tblLayout w:type="fixed"/>
        <w:tblCellMar>
          <w:top w:w="0" w:type="dxa"/>
          <w:start w:w="108" w:type="dxa"/>
          <w:bottom w:w="0" w:type="dxa"/>
          <w:end w:w="108" w:type="dxa"/>
        </w:tblCellMar>
      </w:tblPr>
      <w:tblGrid>
        <w:gridCol w:w="1098"/>
        <w:gridCol w:w="2070"/>
        <w:gridCol w:w="24"/>
        <w:gridCol w:w="1596"/>
        <w:gridCol w:w="1980"/>
        <w:gridCol w:w="1710"/>
        <w:gridCol w:w="1890"/>
      </w:tblGrid>
      <w:tr>
        <w:trPr>
          <w:trHeight w:val="287" w:hRule="atLeast"/>
        </w:trPr>
        <w:tc>
          <w:tcPr>
            <w:tcW w:w="10368" w:type="dxa"/>
            <w:gridSpan w:val="7"/>
            <w:tcBorders>
              <w:top w:val="single" w:sz="4" w:space="0" w:color="000000"/>
              <w:start w:val="single" w:sz="4" w:space="0" w:color="000000"/>
              <w:bottom w:val="single" w:sz="4" w:space="0" w:color="000000"/>
              <w:end w:val="single" w:sz="4" w:space="0" w:color="000000"/>
            </w:tcBorders>
            <w:shd w:fill="0000FF" w:val="clear"/>
          </w:tcPr>
          <w:p>
            <w:pPr>
              <w:pStyle w:val="Normal"/>
              <w:rPr>
                <w:b/>
                <w:color w:val="FFFFFF"/>
                <w:sz w:val="28"/>
              </w:rPr>
            </w:pPr>
            <w:r>
              <w:rPr>
                <w:b/>
                <w:color w:val="FFFFFF"/>
                <w:sz w:val="28"/>
              </w:rPr>
              <w:t>Economic Calendar – October 30 to November 3 2000</w:t>
            </w:r>
          </w:p>
        </w:tc>
      </w:tr>
      <w:tr>
        <w:trPr/>
        <w:tc>
          <w:tcPr>
            <w:tcW w:w="1098" w:type="dxa"/>
            <w:tcBorders>
              <w:top w:val="single" w:sz="4" w:space="0" w:color="000000"/>
              <w:start w:val="single" w:sz="4" w:space="0" w:color="000000"/>
              <w:end w:val="single" w:sz="4" w:space="0" w:color="000000"/>
            </w:tcBorders>
          </w:tcPr>
          <w:p>
            <w:pPr>
              <w:pStyle w:val="Heading3"/>
              <w:spacing w:before="0" w:after="0"/>
              <w:ind w:hanging="0" w:start="0"/>
              <w:jc w:val="center"/>
              <w:rPr/>
            </w:pPr>
            <w:r>
              <w:rPr/>
              <w:t>Country</w:t>
            </w:r>
          </w:p>
        </w:tc>
        <w:tc>
          <w:tcPr>
            <w:tcW w:w="2094" w:type="dxa"/>
            <w:gridSpan w:val="2"/>
            <w:tcBorders>
              <w:top w:val="single" w:sz="4" w:space="0" w:color="000000"/>
              <w:start w:val="single" w:sz="4" w:space="0" w:color="000000"/>
              <w:end w:val="single" w:sz="4" w:space="0" w:color="000000"/>
            </w:tcBorders>
          </w:tcPr>
          <w:p>
            <w:pPr>
              <w:pStyle w:val="Normal"/>
              <w:jc w:val="center"/>
              <w:rPr>
                <w:b/>
                <w:sz w:val="22"/>
              </w:rPr>
            </w:pPr>
            <w:r>
              <w:rPr>
                <w:b/>
                <w:sz w:val="22"/>
              </w:rPr>
              <w:t>Mon. Oct.30</w:t>
            </w:r>
          </w:p>
        </w:tc>
        <w:tc>
          <w:tcPr>
            <w:tcW w:w="1596" w:type="dxa"/>
            <w:tcBorders>
              <w:top w:val="single" w:sz="4" w:space="0" w:color="000000"/>
              <w:start w:val="single" w:sz="4" w:space="0" w:color="000000"/>
              <w:end w:val="single" w:sz="4" w:space="0" w:color="000000"/>
            </w:tcBorders>
          </w:tcPr>
          <w:p>
            <w:pPr>
              <w:pStyle w:val="Normal"/>
              <w:jc w:val="center"/>
              <w:rPr>
                <w:b/>
                <w:sz w:val="22"/>
              </w:rPr>
            </w:pPr>
            <w:r>
              <w:rPr>
                <w:b/>
                <w:sz w:val="22"/>
              </w:rPr>
              <w:t>Tues. Oct.31</w:t>
            </w:r>
          </w:p>
        </w:tc>
        <w:tc>
          <w:tcPr>
            <w:tcW w:w="1980" w:type="dxa"/>
            <w:tcBorders>
              <w:top w:val="single" w:sz="4" w:space="0" w:color="000000"/>
              <w:start w:val="single" w:sz="4" w:space="0" w:color="000000"/>
              <w:end w:val="single" w:sz="4" w:space="0" w:color="000000"/>
            </w:tcBorders>
          </w:tcPr>
          <w:p>
            <w:pPr>
              <w:pStyle w:val="Normal"/>
              <w:jc w:val="center"/>
              <w:rPr>
                <w:b/>
                <w:sz w:val="22"/>
              </w:rPr>
            </w:pPr>
            <w:r>
              <w:rPr>
                <w:b/>
                <w:sz w:val="22"/>
              </w:rPr>
              <w:t>Wed. Nov.1</w:t>
            </w:r>
          </w:p>
        </w:tc>
        <w:tc>
          <w:tcPr>
            <w:tcW w:w="1710" w:type="dxa"/>
            <w:tcBorders>
              <w:top w:val="single" w:sz="4" w:space="0" w:color="000000"/>
              <w:start w:val="single" w:sz="4" w:space="0" w:color="000000"/>
              <w:end w:val="single" w:sz="4" w:space="0" w:color="000000"/>
            </w:tcBorders>
          </w:tcPr>
          <w:p>
            <w:pPr>
              <w:pStyle w:val="Normal"/>
              <w:jc w:val="center"/>
              <w:rPr>
                <w:b/>
                <w:sz w:val="22"/>
              </w:rPr>
            </w:pPr>
            <w:r>
              <w:rPr>
                <w:b/>
                <w:sz w:val="22"/>
              </w:rPr>
              <w:t>Thurs. Nov.2</w:t>
            </w:r>
          </w:p>
        </w:tc>
        <w:tc>
          <w:tcPr>
            <w:tcW w:w="1890" w:type="dxa"/>
            <w:tcBorders>
              <w:top w:val="single" w:sz="4" w:space="0" w:color="000000"/>
              <w:start w:val="single" w:sz="4" w:space="0" w:color="000000"/>
              <w:end w:val="single" w:sz="4" w:space="0" w:color="000000"/>
            </w:tcBorders>
          </w:tcPr>
          <w:p>
            <w:pPr>
              <w:pStyle w:val="Normal"/>
              <w:jc w:val="center"/>
              <w:rPr>
                <w:b/>
                <w:sz w:val="22"/>
              </w:rPr>
            </w:pPr>
            <w:r>
              <w:rPr>
                <w:b/>
                <w:sz w:val="22"/>
              </w:rPr>
              <w:t>Fri. Nov.3</w:t>
            </w:r>
          </w:p>
        </w:tc>
      </w:tr>
      <w:tr>
        <w:trPr/>
        <w:tc>
          <w:tcPr>
            <w:tcW w:w="10368" w:type="dxa"/>
            <w:gridSpan w:val="7"/>
            <w:tcBorders>
              <w:top w:val="single" w:sz="4" w:space="0" w:color="000000"/>
              <w:start w:val="single" w:sz="4" w:space="0" w:color="000000"/>
              <w:bottom w:val="single" w:sz="4" w:space="0" w:color="000000"/>
              <w:end w:val="single" w:sz="4" w:space="0" w:color="000000"/>
            </w:tcBorders>
            <w:shd w:fill="F2F2F2" w:val="clear"/>
          </w:tcPr>
          <w:p>
            <w:pPr>
              <w:pStyle w:val="Normal"/>
              <w:rPr>
                <w:i/>
                <w:i/>
                <w:sz w:val="22"/>
              </w:rPr>
            </w:pPr>
            <w:r>
              <w:rPr>
                <w:i/>
                <w:sz w:val="22"/>
              </w:rPr>
              <w:t>North America</w:t>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U.S.</w:t>
            </w:r>
          </w:p>
          <w:p>
            <w:pPr>
              <w:pStyle w:val="Normal"/>
              <w:rPr>
                <w:b/>
                <w:sz w:val="22"/>
              </w:rPr>
            </w:pPr>
            <w:r>
              <w:rPr>
                <w:b/>
                <w:sz w:val="22"/>
              </w:rPr>
            </w:r>
          </w:p>
          <w:p>
            <w:pPr>
              <w:pStyle w:val="Normal"/>
              <w:rPr>
                <w:b/>
                <w:sz w:val="22"/>
              </w:rPr>
            </w:pPr>
            <w:r>
              <w:rPr>
                <w:b/>
                <w:sz w:val="22"/>
              </w:rPr>
            </w:r>
          </w:p>
        </w:tc>
        <w:tc>
          <w:tcPr>
            <w:tcW w:w="2094" w:type="dxa"/>
            <w:gridSpan w:val="2"/>
            <w:tcBorders>
              <w:top w:val="single" w:sz="4" w:space="0" w:color="000000"/>
              <w:start w:val="single" w:sz="4" w:space="0" w:color="000000"/>
              <w:bottom w:val="single" w:sz="4" w:space="0" w:color="000000"/>
              <w:end w:val="single" w:sz="4" w:space="0" w:color="000000"/>
            </w:tcBorders>
          </w:tcPr>
          <w:p>
            <w:pPr>
              <w:pStyle w:val="BodyText2"/>
              <w:rPr>
                <w:color w:val="auto"/>
              </w:rPr>
            </w:pPr>
            <w:r>
              <w:rPr>
                <w:color w:val="auto"/>
              </w:rPr>
              <w:t>PCE (Sep)</w:t>
            </w:r>
          </w:p>
          <w:p>
            <w:pPr>
              <w:pStyle w:val="BodyText2"/>
              <w:rPr>
                <w:color w:val="auto"/>
              </w:rPr>
            </w:pPr>
            <w:r>
              <w:rPr>
                <w:color w:val="auto"/>
              </w:rPr>
              <w:t>Personal Income &amp; Spending(Sep)</w:t>
            </w:r>
          </w:p>
          <w:p>
            <w:pPr>
              <w:pStyle w:val="BodyText2"/>
              <w:rPr>
                <w:color w:val="auto"/>
              </w:rPr>
            </w:pPr>
            <w:r>
              <w:rPr>
                <w:color w:val="auto"/>
              </w:rPr>
              <w:t>Personal Consumption (Sep)</w:t>
            </w:r>
          </w:p>
          <w:p>
            <w:pPr>
              <w:pStyle w:val="BodyText2"/>
              <w:rPr>
                <w:color w:val="auto"/>
              </w:rPr>
            </w:pPr>
            <w:r>
              <w:rPr>
                <w:color w:val="auto"/>
              </w:rPr>
              <w:t>Auction of T-bills:</w:t>
            </w:r>
          </w:p>
          <w:p>
            <w:pPr>
              <w:pStyle w:val="BodyText2"/>
              <w:rPr>
                <w:color w:val="auto"/>
              </w:rPr>
            </w:pPr>
            <w:r>
              <w:rPr>
                <w:color w:val="auto"/>
              </w:rPr>
              <w:t>$21.0 bil</w:t>
            </w:r>
          </w:p>
          <w:p>
            <w:pPr>
              <w:pStyle w:val="BodyText2"/>
              <w:rPr>
                <w:color w:val="auto"/>
              </w:rPr>
            </w:pPr>
            <w:r>
              <w:rPr>
                <w:color w:val="auto"/>
              </w:rPr>
              <w:t>Auction of :</w:t>
            </w:r>
          </w:p>
          <w:p>
            <w:pPr>
              <w:pStyle w:val="BodyText2"/>
              <w:rPr>
                <w:color w:val="auto"/>
              </w:rPr>
            </w:pPr>
            <w:r>
              <w:rPr>
                <w:color w:val="auto"/>
              </w:rPr>
              <w:t>48- day cm bills: $20.0bil</w:t>
            </w:r>
          </w:p>
          <w:p>
            <w:pPr>
              <w:pStyle w:val="BodyText2"/>
              <w:rPr>
                <w:color w:val="auto"/>
              </w:rPr>
            </w:pPr>
            <w:r>
              <w:rPr>
                <w:color w:val="auto"/>
              </w:rPr>
              <w:t>Treasury to announce quarterly estimates for Q4 and Q1</w:t>
            </w:r>
          </w:p>
          <w:p>
            <w:pPr>
              <w:pStyle w:val="BodyText2"/>
              <w:rPr>
                <w:color w:val="auto"/>
              </w:rPr>
            </w:pPr>
            <w:r>
              <w:rPr>
                <w:color w:val="auto"/>
              </w:rPr>
            </w:r>
          </w:p>
          <w:p>
            <w:pPr>
              <w:pStyle w:val="BodyText2"/>
              <w:rPr/>
            </w:pPr>
            <w:r>
              <w:rPr/>
              <w:t>Fed Pres Moskow to make opening remarks at ABA Conference in Chicago (10:00 am)</w:t>
            </w:r>
          </w:p>
        </w:tc>
        <w:tc>
          <w:tcPr>
            <w:tcW w:w="1596"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t>Redbook (10:00)</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t>APICS survey</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t>Conf. Bd confidence (Sep)</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t>Chicago purch mgrs (Sep)</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t>New Home Sales (Sep)</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t>Farm prices</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t>Settlement for CMDs &amp; 2- year notes</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color w:val="FF0000"/>
              </w:rPr>
            </w:pPr>
            <w:r>
              <w:rPr>
                <w:rFonts w:cs="Garamond" w:ascii="Garamond" w:hAnsi="Garamond"/>
                <w:color w:val="FF0000"/>
              </w:rPr>
              <w:t xml:space="preserve">Fed Vice Chair Ferguson to speak in Seattle  </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color w:val="FF0000"/>
              </w:rPr>
              <w:t>(11:45 am)</w:t>
            </w:r>
          </w:p>
        </w:tc>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Mortgage applications</w:t>
            </w:r>
          </w:p>
          <w:p>
            <w:pPr>
              <w:pStyle w:val="Normal"/>
              <w:rPr/>
            </w:pPr>
            <w:r>
              <w:rPr/>
              <w:t>Natl purch mgrs (Sep)</w:t>
            </w:r>
          </w:p>
          <w:p>
            <w:pPr>
              <w:pStyle w:val="Normal"/>
              <w:rPr/>
            </w:pPr>
            <w:r>
              <w:rPr/>
              <w:t>Construction spend (Sep)</w:t>
            </w:r>
          </w:p>
          <w:p>
            <w:pPr>
              <w:pStyle w:val="Normal"/>
              <w:rPr/>
            </w:pPr>
            <w:r>
              <w:rPr/>
              <w:t>Light weight vehicle sales partial (Oct)</w:t>
            </w:r>
          </w:p>
          <w:p>
            <w:pPr>
              <w:pStyle w:val="Normal"/>
              <w:rPr/>
            </w:pPr>
            <w:r>
              <w:rPr/>
            </w:r>
          </w:p>
          <w:p>
            <w:pPr>
              <w:pStyle w:val="Normal"/>
              <w:rPr>
                <w:color w:val="FF0000"/>
              </w:rPr>
            </w:pPr>
            <w:r>
              <w:rPr>
                <w:color w:val="FF0000"/>
              </w:rPr>
              <w:t>Fed beige book (2:00pm)</w:t>
            </w:r>
          </w:p>
          <w:p>
            <w:pPr>
              <w:pStyle w:val="Normal"/>
              <w:rPr>
                <w:color w:val="FF0000"/>
              </w:rPr>
            </w:pPr>
            <w:r>
              <w:rPr>
                <w:color w:val="FF0000"/>
              </w:rPr>
            </w:r>
          </w:p>
          <w:p>
            <w:pPr>
              <w:pStyle w:val="Normal"/>
              <w:rPr/>
            </w:pPr>
            <w:r>
              <w:rPr/>
              <w:t>Announcement of:</w:t>
            </w:r>
          </w:p>
          <w:p>
            <w:pPr>
              <w:pStyle w:val="Normal"/>
              <w:rPr/>
            </w:pPr>
            <w:r>
              <w:rPr/>
              <w:t>5- year notes: $12.0 bil</w:t>
            </w:r>
          </w:p>
          <w:p>
            <w:pPr>
              <w:pStyle w:val="Normal"/>
              <w:ind w:end="-288"/>
              <w:rPr/>
            </w:pPr>
            <w:r>
              <w:rPr/>
              <w:t>10-year notes: $8.0 bil</w:t>
            </w:r>
          </w:p>
          <w:p>
            <w:pPr>
              <w:pStyle w:val="Normal"/>
              <w:ind w:end="-288"/>
              <w:rPr/>
            </w:pPr>
            <w:r>
              <w:rPr/>
              <w:t>Q4 refunding announcement</w:t>
            </w:r>
          </w:p>
          <w:p>
            <w:pPr>
              <w:pStyle w:val="Normal"/>
              <w:ind w:end="-288"/>
              <w:rPr/>
            </w:pPr>
            <w:r>
              <w:rPr/>
              <w:t>5- year  &amp; 10- year notes</w:t>
            </w:r>
          </w:p>
        </w:tc>
        <w:tc>
          <w:tcPr>
            <w:tcW w:w="1710"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t>Jobless claims</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r>
          </w:p>
          <w:p>
            <w:pPr>
              <w:pStyle w:val="Normal"/>
              <w:rPr/>
            </w:pPr>
            <w:r>
              <w:rPr/>
              <w:t>Chain store sales (Oct)</w:t>
            </w:r>
          </w:p>
          <w:p>
            <w:pPr>
              <w:pStyle w:val="Normal"/>
              <w:rPr/>
            </w:pPr>
            <w:r>
              <w:rPr/>
            </w:r>
          </w:p>
          <w:p>
            <w:pPr>
              <w:pStyle w:val="BodyText2"/>
              <w:rPr/>
            </w:pPr>
            <w:r>
              <w:rPr/>
              <w:t>Productivity (00Q3 preliminary)</w:t>
            </w:r>
          </w:p>
          <w:p>
            <w:pPr>
              <w:pStyle w:val="Normal"/>
              <w:rPr/>
            </w:pPr>
            <w:r>
              <w:rPr/>
            </w:r>
          </w:p>
          <w:p>
            <w:pPr>
              <w:pStyle w:val="Normal"/>
              <w:rPr/>
            </w:pPr>
            <w:r>
              <w:rPr/>
              <w:t>Leading indicators (Sep)</w:t>
            </w:r>
          </w:p>
          <w:p>
            <w:pPr>
              <w:pStyle w:val="Normal"/>
              <w:rPr/>
            </w:pPr>
            <w:r>
              <w:rPr/>
            </w:r>
          </w:p>
          <w:p>
            <w:pPr>
              <w:pStyle w:val="Normal"/>
              <w:rPr/>
            </w:pPr>
            <w:r>
              <w:rPr/>
              <w:t>Vehicle Sales (Oct)</w:t>
            </w:r>
          </w:p>
        </w:tc>
        <w:tc>
          <w:tcPr>
            <w:tcW w:w="1890" w:type="dxa"/>
            <w:tcBorders>
              <w:top w:val="single" w:sz="4" w:space="0" w:color="000000"/>
              <w:start w:val="single" w:sz="4" w:space="0" w:color="000000"/>
              <w:end w:val="single" w:sz="4" w:space="0" w:color="000000"/>
            </w:tcBorders>
          </w:tcPr>
          <w:p>
            <w:pPr>
              <w:pStyle w:val="Normal"/>
              <w:rPr/>
            </w:pPr>
            <w:r>
              <w:rPr>
                <w:color w:val="FF0000"/>
                <w:u w:val="single"/>
              </w:rPr>
              <w:t>Labor market</w:t>
            </w:r>
            <w:r>
              <w:rPr>
                <w:color w:val="FF0000"/>
              </w:rPr>
              <w:t xml:space="preserve"> :</w:t>
            </w:r>
          </w:p>
          <w:p>
            <w:pPr>
              <w:pStyle w:val="Normal"/>
              <w:numPr>
                <w:ilvl w:val="0"/>
                <w:numId w:val="4"/>
              </w:numPr>
              <w:rPr>
                <w:color w:val="FF0000"/>
              </w:rPr>
            </w:pPr>
            <w:r>
              <w:rPr>
                <w:color w:val="FF0000"/>
              </w:rPr>
              <w:t>Payrolls</w:t>
            </w:r>
          </w:p>
          <w:p>
            <w:pPr>
              <w:pStyle w:val="Normal"/>
              <w:numPr>
                <w:ilvl w:val="0"/>
                <w:numId w:val="4"/>
              </w:numPr>
              <w:rPr>
                <w:color w:val="FF0000"/>
              </w:rPr>
            </w:pPr>
            <w:r>
              <w:rPr>
                <w:color w:val="FF0000"/>
              </w:rPr>
              <w:t>Unemployment</w:t>
            </w:r>
          </w:p>
          <w:p>
            <w:pPr>
              <w:pStyle w:val="Normal"/>
              <w:numPr>
                <w:ilvl w:val="0"/>
                <w:numId w:val="4"/>
              </w:numPr>
              <w:rPr/>
            </w:pPr>
            <w:r>
              <w:rPr>
                <w:color w:val="FF0000"/>
              </w:rPr>
              <w:t>Hourly Earnings</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r>
          </w:p>
          <w:p>
            <w:pPr>
              <w:pStyle w:val="Normal"/>
              <w:rPr/>
            </w:pPr>
            <w:r>
              <w:rPr/>
              <w:t>Factory orders and inventories (Sep)</w:t>
            </w:r>
          </w:p>
          <w:p>
            <w:pPr>
              <w:pStyle w:val="Normal"/>
              <w:rPr/>
            </w:pPr>
            <w:r>
              <w:rPr/>
            </w:r>
          </w:p>
          <w:p>
            <w:pPr>
              <w:pStyle w:val="BodyText2"/>
              <w:rPr/>
            </w:pPr>
            <w:r>
              <w:rPr/>
              <w:t>NAPM non-mfg (Oct)</w:t>
            </w:r>
          </w:p>
          <w:p>
            <w:pPr>
              <w:pStyle w:val="Normal"/>
              <w:rPr/>
            </w:pPr>
            <w:r>
              <w:rPr/>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t>Light vehicle sales complete (Oct)</w:t>
            </w:r>
          </w:p>
        </w:tc>
      </w:tr>
      <w:tr>
        <w:trPr/>
        <w:tc>
          <w:tcPr>
            <w:tcW w:w="1098" w:type="dxa"/>
            <w:tcBorders>
              <w:top w:val="single" w:sz="4" w:space="0" w:color="000000"/>
              <w:start w:val="single" w:sz="4" w:space="0" w:color="000000"/>
              <w:end w:val="single" w:sz="4" w:space="0" w:color="000000"/>
            </w:tcBorders>
          </w:tcPr>
          <w:p>
            <w:pPr>
              <w:pStyle w:val="Normal"/>
              <w:rPr>
                <w:b/>
                <w:sz w:val="22"/>
              </w:rPr>
            </w:pPr>
            <w:r>
              <w:rPr>
                <w:b/>
                <w:sz w:val="22"/>
              </w:rPr>
              <w:t>Canada</w:t>
            </w:r>
          </w:p>
        </w:tc>
        <w:tc>
          <w:tcPr>
            <w:tcW w:w="2094" w:type="dxa"/>
            <w:gridSpan w:val="2"/>
            <w:tcBorders>
              <w:top w:val="single" w:sz="4" w:space="0" w:color="000000"/>
              <w:start w:val="single" w:sz="4" w:space="0" w:color="000000"/>
              <w:end w:val="single" w:sz="4" w:space="0" w:color="000000"/>
            </w:tcBorders>
          </w:tcPr>
          <w:p>
            <w:pPr>
              <w:pStyle w:val="Normal"/>
              <w:snapToGrid w:val="false"/>
              <w:rPr>
                <w:b/>
                <w:sz w:val="22"/>
              </w:rPr>
            </w:pPr>
            <w:r>
              <w:rPr>
                <w:b/>
                <w:sz w:val="22"/>
              </w:rPr>
            </w:r>
          </w:p>
        </w:tc>
        <w:tc>
          <w:tcPr>
            <w:tcW w:w="1596" w:type="dxa"/>
            <w:tcBorders>
              <w:top w:val="single" w:sz="4" w:space="0" w:color="000000"/>
              <w:start w:val="single" w:sz="4" w:space="0" w:color="000000"/>
              <w:end w:val="single" w:sz="4" w:space="0" w:color="000000"/>
            </w:tcBorders>
          </w:tcPr>
          <w:p>
            <w:pPr>
              <w:pStyle w:val="Normal"/>
              <w:rPr/>
            </w:pPr>
            <w:r>
              <w:rPr/>
              <w:t>Real GDP (Aug)</w:t>
            </w:r>
          </w:p>
        </w:tc>
        <w:tc>
          <w:tcPr>
            <w:tcW w:w="1980" w:type="dxa"/>
            <w:tcBorders>
              <w:top w:val="single" w:sz="4" w:space="0" w:color="000000"/>
              <w:start w:val="single" w:sz="4" w:space="0" w:color="000000"/>
              <w:end w:val="single" w:sz="4" w:space="0" w:color="000000"/>
            </w:tcBorders>
          </w:tcPr>
          <w:p>
            <w:pPr>
              <w:pStyle w:val="Normal"/>
              <w:rPr/>
            </w:pPr>
            <w:r>
              <w:rPr/>
              <w:t>Help wanted Index (Oct)</w:t>
            </w:r>
          </w:p>
        </w:tc>
        <w:tc>
          <w:tcPr>
            <w:tcW w:w="1710" w:type="dxa"/>
            <w:tcBorders>
              <w:top w:val="single" w:sz="4" w:space="0" w:color="000000"/>
              <w:start w:val="single" w:sz="4" w:space="0" w:color="000000"/>
              <w:end w:val="single" w:sz="4" w:space="0" w:color="000000"/>
            </w:tcBorders>
          </w:tcPr>
          <w:p>
            <w:pPr>
              <w:pStyle w:val="Normal"/>
              <w:rPr/>
            </w:pPr>
            <w:r>
              <w:rPr/>
              <w:t>Unemployment Rate (Oct)</w:t>
            </w:r>
          </w:p>
        </w:tc>
        <w:tc>
          <w:tcPr>
            <w:tcW w:w="1890" w:type="dxa"/>
            <w:tcBorders>
              <w:top w:val="single" w:sz="4" w:space="0" w:color="000000"/>
              <w:start w:val="single" w:sz="4" w:space="0" w:color="000000"/>
              <w:end w:val="single" w:sz="4" w:space="0" w:color="000000"/>
            </w:tcBorders>
          </w:tcPr>
          <w:p>
            <w:pPr>
              <w:pStyle w:val="Normal"/>
              <w:rPr/>
            </w:pPr>
            <w:r>
              <w:rPr/>
              <w:t>Net Change in Employment (Oct)</w:t>
            </w:r>
          </w:p>
        </w:tc>
      </w:tr>
      <w:tr>
        <w:trPr/>
        <w:tc>
          <w:tcPr>
            <w:tcW w:w="10368" w:type="dxa"/>
            <w:gridSpan w:val="7"/>
            <w:tcBorders>
              <w:top w:val="single" w:sz="4" w:space="0" w:color="000000"/>
              <w:start w:val="single" w:sz="4" w:space="0" w:color="000000"/>
              <w:bottom w:val="single" w:sz="4" w:space="0" w:color="000000"/>
              <w:end w:val="single" w:sz="4" w:space="0" w:color="000000"/>
            </w:tcBorders>
            <w:shd w:fill="F2F2F2" w:val="clear"/>
          </w:tcPr>
          <w:p>
            <w:pPr>
              <w:pStyle w:val="Normal"/>
              <w:rPr>
                <w:i/>
                <w:i/>
                <w:sz w:val="22"/>
              </w:rPr>
            </w:pPr>
            <w:r>
              <w:rPr>
                <w:i/>
                <w:sz w:val="22"/>
              </w:rPr>
              <w:t>Europe</w:t>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ECB</w:t>
            </w:r>
          </w:p>
          <w:p>
            <w:pPr>
              <w:pStyle w:val="Normal"/>
              <w:rPr>
                <w:b/>
                <w:sz w:val="22"/>
              </w:rPr>
            </w:pPr>
            <w:r>
              <w:rPr>
                <w:b/>
                <w:sz w:val="22"/>
              </w:rPr>
            </w:r>
          </w:p>
          <w:p>
            <w:pPr>
              <w:pStyle w:val="Normal"/>
              <w:rPr>
                <w:b/>
                <w:sz w:val="22"/>
              </w:rPr>
            </w:pPr>
            <w:r>
              <w:rPr>
                <w:b/>
                <w:sz w:val="22"/>
              </w:rPr>
            </w:r>
          </w:p>
        </w:tc>
        <w:tc>
          <w:tcPr>
            <w:tcW w:w="2094" w:type="dxa"/>
            <w:gridSpan w:val="2"/>
            <w:tcBorders>
              <w:top w:val="single" w:sz="4" w:space="0" w:color="000000"/>
              <w:start w:val="single" w:sz="4" w:space="0" w:color="000000"/>
              <w:bottom w:val="single" w:sz="4" w:space="0" w:color="000000"/>
              <w:end w:val="single" w:sz="4" w:space="0" w:color="000000"/>
            </w:tcBorders>
          </w:tcPr>
          <w:p>
            <w:pPr>
              <w:pStyle w:val="Normal"/>
              <w:rPr/>
            </w:pPr>
            <w:r>
              <w:rPr/>
              <w:t>Italy: prel CPI (Oct)</w:t>
            </w:r>
          </w:p>
          <w:p>
            <w:pPr>
              <w:pStyle w:val="Normal"/>
              <w:rPr/>
            </w:pPr>
            <w:r>
              <w:rPr/>
            </w:r>
          </w:p>
          <w:p>
            <w:pPr>
              <w:pStyle w:val="Normal"/>
              <w:rPr/>
            </w:pPr>
            <w:r>
              <w:rPr/>
            </w:r>
          </w:p>
        </w:tc>
        <w:tc>
          <w:tcPr>
            <w:tcW w:w="1596" w:type="dxa"/>
            <w:tcBorders>
              <w:top w:val="single" w:sz="4" w:space="0" w:color="000000"/>
              <w:start w:val="single" w:sz="4" w:space="0" w:color="000000"/>
              <w:bottom w:val="single" w:sz="4" w:space="0" w:color="000000"/>
              <w:end w:val="single" w:sz="4" w:space="0" w:color="000000"/>
            </w:tcBorders>
          </w:tcPr>
          <w:p>
            <w:pPr>
              <w:pStyle w:val="Normal"/>
              <w:rPr/>
            </w:pPr>
            <w:r>
              <w:rPr/>
              <w:t xml:space="preserve">Euro area: Foreign trade (Aug), </w:t>
            </w:r>
            <w:r>
              <w:rPr>
                <w:color w:val="FF0000"/>
              </w:rPr>
              <w:t>Retail sales (Aug),</w:t>
            </w:r>
            <w:r>
              <w:rPr/>
              <w:t xml:space="preserve"> Current Account (Aug)</w:t>
            </w:r>
          </w:p>
          <w:p>
            <w:pPr>
              <w:pStyle w:val="Normal"/>
              <w:rPr/>
            </w:pPr>
            <w:r>
              <w:rPr/>
              <w:t>France: Unemployment (Sep), Housing Indicators (Sep),PPI (Sep)</w:t>
            </w:r>
          </w:p>
        </w:tc>
        <w:tc>
          <w:tcPr>
            <w:tcW w:w="1980"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t>Germany: PMI (Oct)</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r>
          </w:p>
          <w:p>
            <w:pPr>
              <w:pStyle w:val="Normal"/>
              <w:rPr/>
            </w:pPr>
            <w:r>
              <w:rPr/>
              <w:t>Euro Area: PMI (Oct)</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t>Holiday: Austria, Belgium, France, Italy, Luxembourg, Portugal, Spain</w:t>
            </w:r>
          </w:p>
        </w:tc>
        <w:tc>
          <w:tcPr>
            <w:tcW w:w="1710" w:type="dxa"/>
            <w:tcBorders>
              <w:top w:val="single" w:sz="4" w:space="0" w:color="000000"/>
              <w:start w:val="single" w:sz="4" w:space="0" w:color="000000"/>
              <w:bottom w:val="single" w:sz="4" w:space="0" w:color="000000"/>
              <w:end w:val="single" w:sz="4" w:space="0" w:color="000000"/>
            </w:tcBorders>
          </w:tcPr>
          <w:p>
            <w:pPr>
              <w:pStyle w:val="Normal"/>
              <w:rPr/>
            </w:pPr>
            <w:r>
              <w:rPr/>
              <w:t>France: PMI (Oct)</w:t>
            </w:r>
          </w:p>
          <w:p>
            <w:pPr>
              <w:pStyle w:val="Normal"/>
              <w:rPr/>
            </w:pPr>
            <w:r>
              <w:rPr/>
            </w:r>
          </w:p>
          <w:p>
            <w:pPr>
              <w:pStyle w:val="Normal"/>
              <w:rPr/>
            </w:pPr>
            <w:r>
              <w:rPr/>
              <w:t>Germany: Services PMI (Oct)</w:t>
            </w:r>
          </w:p>
          <w:p>
            <w:pPr>
              <w:pStyle w:val="Normal"/>
              <w:rPr/>
            </w:pPr>
            <w:r>
              <w:rPr/>
            </w:r>
          </w:p>
          <w:p>
            <w:pPr>
              <w:pStyle w:val="Normal"/>
              <w:rPr/>
            </w:pPr>
            <w:r>
              <w:rPr/>
              <w:t>Italy: Services PMI (Oct)</w:t>
            </w:r>
          </w:p>
          <w:p>
            <w:pPr>
              <w:pStyle w:val="Normal"/>
              <w:rPr/>
            </w:pPr>
            <w:r>
              <w:rPr/>
            </w:r>
          </w:p>
          <w:p>
            <w:pPr>
              <w:pStyle w:val="Normal"/>
              <w:rPr>
                <w:color w:val="FF0000"/>
              </w:rPr>
            </w:pPr>
            <w:r>
              <w:rPr>
                <w:color w:val="FF0000"/>
              </w:rPr>
              <w:t>ECB meeting and press conference</w:t>
            </w:r>
          </w:p>
        </w:tc>
        <w:tc>
          <w:tcPr>
            <w:tcW w:w="1890" w:type="dxa"/>
            <w:tcBorders>
              <w:top w:val="single" w:sz="4" w:space="0" w:color="000000"/>
              <w:start w:val="single" w:sz="4" w:space="0" w:color="000000"/>
              <w:bottom w:val="single" w:sz="4" w:space="0" w:color="000000"/>
              <w:end w:val="single" w:sz="4" w:space="0" w:color="000000"/>
            </w:tcBorders>
          </w:tcPr>
          <w:p>
            <w:pPr>
              <w:pStyle w:val="Normal"/>
              <w:rPr/>
            </w:pPr>
            <w:r>
              <w:rPr/>
              <w:t>Euro Area: Services PMI (Oct)</w:t>
            </w:r>
          </w:p>
          <w:p>
            <w:pPr>
              <w:pStyle w:val="Normal"/>
              <w:rPr/>
            </w:pPr>
            <w:r>
              <w:rPr/>
              <w:t>Ind. Orders (Aug)</w:t>
            </w:r>
          </w:p>
          <w:p>
            <w:pPr>
              <w:pStyle w:val="Normal"/>
              <w:rPr/>
            </w:pPr>
            <w:r>
              <w:rPr/>
            </w:r>
          </w:p>
          <w:p>
            <w:pPr>
              <w:pStyle w:val="Normal"/>
              <w:rPr/>
            </w:pPr>
            <w:r>
              <w:rPr/>
              <w:t>France: INSEE industry survey (00Q3)</w:t>
            </w:r>
          </w:p>
          <w:p>
            <w:pPr>
              <w:pStyle w:val="Normal"/>
              <w:rPr/>
            </w:pPr>
            <w:r>
              <w:rPr/>
            </w:r>
          </w:p>
          <w:p>
            <w:pPr>
              <w:pStyle w:val="Normal"/>
              <w:rPr/>
            </w:pPr>
            <w:r>
              <w:rPr/>
              <w:t>Italy:  Industrial Orders (Aug)</w:t>
            </w:r>
          </w:p>
        </w:tc>
      </w:tr>
      <w:tr>
        <w:trPr/>
        <w:tc>
          <w:tcPr>
            <w:tcW w:w="1098" w:type="dxa"/>
            <w:tcBorders>
              <w:top w:val="single" w:sz="4" w:space="0" w:color="000000"/>
              <w:start w:val="single" w:sz="4" w:space="0" w:color="000000"/>
              <w:end w:val="single" w:sz="4" w:space="0" w:color="000000"/>
            </w:tcBorders>
          </w:tcPr>
          <w:p>
            <w:pPr>
              <w:pStyle w:val="Normal"/>
              <w:rPr>
                <w:b/>
                <w:sz w:val="22"/>
              </w:rPr>
            </w:pPr>
            <w:r>
              <w:rPr>
                <w:b/>
                <w:sz w:val="22"/>
              </w:rPr>
              <w:t>U.K.</w:t>
            </w:r>
          </w:p>
          <w:p>
            <w:pPr>
              <w:pStyle w:val="Normal"/>
              <w:rPr>
                <w:b/>
                <w:sz w:val="22"/>
              </w:rPr>
            </w:pPr>
            <w:r>
              <w:rPr>
                <w:b/>
                <w:sz w:val="22"/>
              </w:rPr>
            </w:r>
          </w:p>
          <w:p>
            <w:pPr>
              <w:pStyle w:val="Normal"/>
              <w:rPr>
                <w:b/>
                <w:sz w:val="22"/>
              </w:rPr>
            </w:pPr>
            <w:r>
              <w:rPr>
                <w:b/>
                <w:sz w:val="22"/>
              </w:rPr>
            </w:r>
          </w:p>
        </w:tc>
        <w:tc>
          <w:tcPr>
            <w:tcW w:w="2094" w:type="dxa"/>
            <w:gridSpan w:val="2"/>
            <w:tcBorders>
              <w:top w:val="single" w:sz="4" w:space="0" w:color="000000"/>
              <w:start w:val="single" w:sz="4" w:space="0" w:color="000000"/>
              <w:end w:val="single" w:sz="4" w:space="0" w:color="000000"/>
            </w:tcBorders>
          </w:tcPr>
          <w:p>
            <w:pPr>
              <w:pStyle w:val="Normal"/>
              <w:rPr/>
            </w:pPr>
            <w:r>
              <w:rPr>
                <w:rFonts w:eastAsia="Garamond"/>
              </w:rPr>
              <w:t xml:space="preserve"> </w:t>
            </w:r>
            <w:r>
              <w:rPr/>
              <w:t>Money Supply (Sep)</w:t>
            </w:r>
          </w:p>
          <w:p>
            <w:pPr>
              <w:pStyle w:val="Normal"/>
              <w:rPr/>
            </w:pPr>
            <w:r>
              <w:rPr/>
              <w:t>Sterling Lending Rate (Sep)</w:t>
            </w:r>
          </w:p>
          <w:p>
            <w:pPr>
              <w:pStyle w:val="Normal"/>
              <w:rPr/>
            </w:pPr>
            <w:r>
              <w:rPr/>
              <w:t>Net Consumer Credit (Sep)</w:t>
            </w:r>
          </w:p>
        </w:tc>
        <w:tc>
          <w:tcPr>
            <w:tcW w:w="1596" w:type="dxa"/>
            <w:tcBorders>
              <w:top w:val="single" w:sz="4" w:space="0" w:color="000000"/>
              <w:start w:val="single" w:sz="4" w:space="0" w:color="000000"/>
              <w:end w:val="single" w:sz="4" w:space="0" w:color="000000"/>
            </w:tcBorders>
          </w:tcPr>
          <w:p>
            <w:pPr>
              <w:pStyle w:val="Normal"/>
              <w:rPr>
                <w:color w:val="FF0000"/>
              </w:rPr>
            </w:pPr>
            <w:r>
              <w:rPr>
                <w:color w:val="FF0000"/>
              </w:rPr>
              <w:t xml:space="preserve">BOE Governor George and Deputy Governor King  go before House of Lords </w:t>
            </w:r>
          </w:p>
        </w:tc>
        <w:tc>
          <w:tcPr>
            <w:tcW w:w="1980" w:type="dxa"/>
            <w:tcBorders>
              <w:top w:val="single" w:sz="4" w:space="0" w:color="000000"/>
              <w:start w:val="single" w:sz="4" w:space="0" w:color="000000"/>
              <w:end w:val="single" w:sz="4" w:space="0" w:color="000000"/>
            </w:tcBorders>
          </w:tcPr>
          <w:p>
            <w:pPr>
              <w:pStyle w:val="Normal"/>
              <w:rPr/>
            </w:pPr>
            <w:r>
              <w:rPr/>
              <w:t>CBI Distributive Trades Survey</w:t>
            </w:r>
          </w:p>
          <w:p>
            <w:pPr>
              <w:pStyle w:val="Normal"/>
              <w:rPr/>
            </w:pPr>
            <w:r>
              <w:rPr/>
            </w:r>
          </w:p>
          <w:p>
            <w:pPr>
              <w:pStyle w:val="Normal"/>
              <w:rPr/>
            </w:pPr>
            <w:r>
              <w:rPr/>
              <w:t>PMI (Oct)</w:t>
            </w:r>
          </w:p>
        </w:tc>
        <w:tc>
          <w:tcPr>
            <w:tcW w:w="1710" w:type="dxa"/>
            <w:tcBorders>
              <w:top w:val="single" w:sz="4" w:space="0" w:color="000000"/>
              <w:start w:val="single" w:sz="4" w:space="0" w:color="000000"/>
              <w:end w:val="single" w:sz="4" w:space="0" w:color="000000"/>
            </w:tcBorders>
          </w:tcPr>
          <w:p>
            <w:pPr>
              <w:pStyle w:val="Normal"/>
              <w:rPr/>
            </w:pPr>
            <w:r>
              <w:rPr/>
              <w:t>Housing starts and compl. (Sep)</w:t>
            </w:r>
          </w:p>
          <w:p>
            <w:pPr>
              <w:pStyle w:val="Normal"/>
              <w:rPr/>
            </w:pPr>
            <w:r>
              <w:rPr/>
              <w:t>Constr. New Orders (Sep)</w:t>
            </w:r>
          </w:p>
          <w:p>
            <w:pPr>
              <w:pStyle w:val="Normal"/>
              <w:rPr/>
            </w:pPr>
            <w:r>
              <w:rPr/>
              <w:t>PMI Constr. (Oct)</w:t>
            </w:r>
          </w:p>
        </w:tc>
        <w:tc>
          <w:tcPr>
            <w:tcW w:w="1890" w:type="dxa"/>
            <w:tcBorders>
              <w:top w:val="single" w:sz="4" w:space="0" w:color="000000"/>
              <w:start w:val="single" w:sz="4" w:space="0" w:color="000000"/>
              <w:end w:val="single" w:sz="4" w:space="0" w:color="000000"/>
            </w:tcBorders>
          </w:tcPr>
          <w:p>
            <w:pPr>
              <w:pStyle w:val="Normal"/>
              <w:rPr/>
            </w:pPr>
            <w:r>
              <w:rPr/>
              <w:t>CIPS services report</w:t>
            </w:r>
          </w:p>
          <w:p>
            <w:pPr>
              <w:pStyle w:val="Normal"/>
              <w:rPr/>
            </w:pPr>
            <w:r>
              <w:rPr/>
              <w:t>Official Reserves (Oct)</w:t>
            </w:r>
          </w:p>
          <w:p>
            <w:pPr>
              <w:pStyle w:val="Normal"/>
              <w:rPr/>
            </w:pPr>
            <w:r>
              <w:rPr/>
              <w:t>Halifax house prices (Oct)</w:t>
            </w:r>
          </w:p>
        </w:tc>
      </w:tr>
      <w:tr>
        <w:trPr/>
        <w:tc>
          <w:tcPr>
            <w:tcW w:w="10368" w:type="dxa"/>
            <w:gridSpan w:val="7"/>
            <w:tcBorders>
              <w:top w:val="single" w:sz="4" w:space="0" w:color="000000"/>
              <w:start w:val="single" w:sz="4" w:space="0" w:color="000000"/>
              <w:bottom w:val="single" w:sz="4" w:space="0" w:color="000000"/>
              <w:end w:val="single" w:sz="4" w:space="0" w:color="000000"/>
            </w:tcBorders>
            <w:shd w:fill="F2F2F2" w:val="clear"/>
          </w:tcPr>
          <w:p>
            <w:pPr>
              <w:pStyle w:val="Normal"/>
              <w:rPr>
                <w:i/>
                <w:i/>
                <w:sz w:val="22"/>
              </w:rPr>
            </w:pPr>
            <w:r>
              <w:rPr>
                <w:i/>
                <w:sz w:val="22"/>
              </w:rPr>
              <w:t>Asia/Pacific</w:t>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Australia</w:t>
            </w:r>
          </w:p>
          <w:p>
            <w:pPr>
              <w:pStyle w:val="Normal"/>
              <w:rPr>
                <w:b/>
                <w:sz w:val="22"/>
              </w:rPr>
            </w:pPr>
            <w:r>
              <w:rPr>
                <w:b/>
                <w:sz w:val="22"/>
              </w:rPr>
            </w:r>
          </w:p>
        </w:tc>
        <w:tc>
          <w:tcPr>
            <w:tcW w:w="2070" w:type="dxa"/>
            <w:tcBorders>
              <w:top w:val="single" w:sz="4" w:space="0" w:color="000000"/>
              <w:start w:val="single" w:sz="4" w:space="0" w:color="000000"/>
              <w:bottom w:val="single" w:sz="4" w:space="0" w:color="000000"/>
              <w:end w:val="single" w:sz="4" w:space="0" w:color="000000"/>
            </w:tcBorders>
          </w:tcPr>
          <w:p>
            <w:pPr>
              <w:pStyle w:val="Normal"/>
              <w:rPr/>
            </w:pPr>
            <w:r>
              <w:rPr/>
              <w:t>Intl Trade of  Goods and Services (Sep)</w:t>
            </w:r>
          </w:p>
          <w:p>
            <w:pPr>
              <w:pStyle w:val="Normal"/>
              <w:rPr/>
            </w:pPr>
            <w:r>
              <w:rPr/>
              <w:t>RBA fin aggreg. (Sep)</w:t>
            </w:r>
          </w:p>
        </w:tc>
        <w:tc>
          <w:tcPr>
            <w:tcW w:w="1620" w:type="dxa"/>
            <w:gridSpan w:val="2"/>
            <w:tcBorders>
              <w:top w:val="single" w:sz="4" w:space="0" w:color="000000"/>
              <w:start w:val="single" w:sz="4" w:space="0" w:color="000000"/>
              <w:bottom w:val="single" w:sz="4" w:space="0" w:color="000000"/>
              <w:end w:val="single" w:sz="4" w:space="0" w:color="000000"/>
            </w:tcBorders>
          </w:tcPr>
          <w:p>
            <w:pPr>
              <w:pStyle w:val="Normal"/>
              <w:rPr/>
            </w:pPr>
            <w:r>
              <w:rPr/>
              <w:t>Building Approvals (Sep)</w:t>
            </w:r>
          </w:p>
          <w:p>
            <w:pPr>
              <w:pStyle w:val="Normal"/>
              <w:rPr/>
            </w:pPr>
            <w:r>
              <w:rPr/>
            </w:r>
          </w:p>
        </w:tc>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Retail Trade (Sep)</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890"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snapToGrid w:val="false"/>
              <w:rPr>
                <w:rFonts w:ascii="Garamond" w:hAnsi="Garamond" w:cs="Garamond"/>
              </w:rPr>
            </w:pPr>
            <w:r>
              <w:rPr>
                <w:rFonts w:cs="Garamond" w:ascii="Garamond" w:hAnsi="Garamond"/>
              </w:rPr>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NZ</w:t>
            </w:r>
          </w:p>
        </w:tc>
        <w:tc>
          <w:tcPr>
            <w:tcW w:w="2070"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t>Population estimate (00Q3)</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t>NBNZ Business confidence. (Oct)</w:t>
            </w:r>
          </w:p>
        </w:tc>
        <w:tc>
          <w:tcPr>
            <w:tcW w:w="1620" w:type="dxa"/>
            <w:gridSpan w:val="2"/>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snapToGrid w:val="false"/>
              <w:rPr>
                <w:rFonts w:ascii="Garamond" w:hAnsi="Garamond" w:cs="Garamond"/>
              </w:rPr>
            </w:pPr>
            <w:r>
              <w:rPr>
                <w:rFonts w:cs="Garamond" w:ascii="Garamond" w:hAnsi="Garamond"/>
              </w:rPr>
            </w:r>
          </w:p>
        </w:tc>
        <w:tc>
          <w:tcPr>
            <w:tcW w:w="1980"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t>Household Labor Survey</w:t>
            </w:r>
          </w:p>
          <w:p>
            <w:pPr>
              <w:pStyle w:val="MacroText"/>
              <w:tabs>
                <w:tab w:val="clear" w:pos="480"/>
                <w:tab w:val="clear" w:pos="960"/>
                <w:tab w:val="clear" w:pos="1440"/>
                <w:tab w:val="clear" w:pos="1920"/>
                <w:tab w:val="clear" w:pos="2400"/>
                <w:tab w:val="clear" w:pos="2880"/>
                <w:tab w:val="clear" w:pos="3360"/>
                <w:tab w:val="clear" w:pos="3840"/>
                <w:tab w:val="clear" w:pos="4320"/>
              </w:tabs>
              <w:rPr>
                <w:rFonts w:ascii="Garamond" w:hAnsi="Garamond" w:cs="Garamond"/>
              </w:rPr>
            </w:pPr>
            <w:r>
              <w:rPr>
                <w:rFonts w:cs="Garamond" w:ascii="Garamond" w:hAnsi="Garamond"/>
              </w:rPr>
              <w:t>Unemployment Rate (00Q3)</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Garamond" w:hAnsi="Garamond" w:cs="Garamond"/>
              </w:rPr>
            </w:pPr>
            <w:r>
              <w:rPr>
                <w:rFonts w:cs="Garamond"/>
              </w:rPr>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1592" w:hRule="atLeast"/>
        </w:trPr>
        <w:tc>
          <w:tcPr>
            <w:tcW w:w="109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Japan</w:t>
            </w:r>
          </w:p>
          <w:p>
            <w:pPr>
              <w:pStyle w:val="Normal"/>
              <w:rPr>
                <w:b/>
                <w:sz w:val="22"/>
              </w:rPr>
            </w:pPr>
            <w:r>
              <w:rPr>
                <w:b/>
                <w:sz w:val="22"/>
              </w:rPr>
            </w:r>
          </w:p>
          <w:p>
            <w:pPr>
              <w:pStyle w:val="Normal"/>
              <w:rPr>
                <w:b/>
                <w:sz w:val="22"/>
              </w:rPr>
            </w:pPr>
            <w:r>
              <w:rPr>
                <w:b/>
                <w:sz w:val="22"/>
              </w:rPr>
            </w:r>
          </w:p>
        </w:tc>
        <w:tc>
          <w:tcPr>
            <w:tcW w:w="2070" w:type="dxa"/>
            <w:tcBorders>
              <w:top w:val="single" w:sz="4" w:space="0" w:color="000000"/>
              <w:start w:val="single" w:sz="4" w:space="0" w:color="000000"/>
              <w:bottom w:val="single" w:sz="4" w:space="0" w:color="000000"/>
              <w:end w:val="single" w:sz="4" w:space="0" w:color="000000"/>
            </w:tcBorders>
          </w:tcPr>
          <w:p>
            <w:pPr>
              <w:pStyle w:val="Normal"/>
              <w:rPr/>
            </w:pPr>
            <w:r>
              <w:rPr/>
              <w:t>Unemployment rate (Sep)</w:t>
            </w:r>
          </w:p>
          <w:p>
            <w:pPr>
              <w:pStyle w:val="Normal"/>
              <w:rPr/>
            </w:pPr>
            <w:r>
              <w:rPr/>
              <w:t xml:space="preserve">Construction Orders </w:t>
            </w:r>
          </w:p>
          <w:p>
            <w:pPr>
              <w:pStyle w:val="Normal"/>
              <w:rPr/>
            </w:pPr>
            <w:r>
              <w:rPr/>
              <w:t>Total (Sep)</w:t>
            </w:r>
          </w:p>
          <w:p>
            <w:pPr>
              <w:pStyle w:val="Normal"/>
              <w:rPr/>
            </w:pPr>
            <w:r>
              <w:rPr/>
            </w:r>
          </w:p>
          <w:p>
            <w:pPr>
              <w:pStyle w:val="Normal"/>
              <w:rPr>
                <w:color w:val="FF0000"/>
              </w:rPr>
            </w:pPr>
            <w:r>
              <w:rPr>
                <w:color w:val="FF0000"/>
              </w:rPr>
              <w:t>BOJ Monetary Policy meeting</w:t>
            </w:r>
          </w:p>
        </w:tc>
        <w:tc>
          <w:tcPr>
            <w:tcW w:w="1620" w:type="dxa"/>
            <w:gridSpan w:val="2"/>
            <w:tcBorders>
              <w:top w:val="single" w:sz="4" w:space="0" w:color="000000"/>
              <w:start w:val="single" w:sz="4" w:space="0" w:color="000000"/>
              <w:bottom w:val="single" w:sz="4" w:space="0" w:color="000000"/>
              <w:end w:val="single" w:sz="4" w:space="0" w:color="000000"/>
            </w:tcBorders>
          </w:tcPr>
          <w:p>
            <w:pPr>
              <w:pStyle w:val="Normal"/>
              <w:rPr/>
            </w:pPr>
            <w:r>
              <w:rPr/>
              <w:t>Housing Starts (Sep)</w:t>
            </w:r>
          </w:p>
          <w:p>
            <w:pPr>
              <w:pStyle w:val="Normal"/>
              <w:rPr/>
            </w:pPr>
            <w:r>
              <w:rPr/>
              <w:t>Construction Orders (Sep)</w:t>
            </w:r>
          </w:p>
          <w:p>
            <w:pPr>
              <w:pStyle w:val="Normal"/>
              <w:rPr/>
            </w:pPr>
            <w:r>
              <w:rPr/>
              <w:t>Small Bus. Sent.</w:t>
            </w:r>
          </w:p>
          <w:p>
            <w:pPr>
              <w:pStyle w:val="Normal"/>
              <w:rPr>
                <w:color w:val="FF0000"/>
              </w:rPr>
            </w:pPr>
            <w:r>
              <w:rPr>
                <w:color w:val="FF0000"/>
              </w:rPr>
              <w:t xml:space="preserve">BOJ Outlook and Risk Assessment </w:t>
            </w:r>
          </w:p>
        </w:tc>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Household Spending (Sep)</w:t>
            </w:r>
          </w:p>
          <w:p>
            <w:pPr>
              <w:pStyle w:val="Normal"/>
              <w:rPr/>
            </w:pPr>
            <w:r>
              <w:rPr/>
              <w:t>New Car Regis. (Oct)</w:t>
            </w:r>
          </w:p>
        </w:tc>
        <w:tc>
          <w:tcPr>
            <w:tcW w:w="1710"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snapToGrid w:val="false"/>
              <w:rPr>
                <w:rFonts w:ascii="Garamond" w:hAnsi="Garamond" w:cs="Garamond"/>
              </w:rPr>
            </w:pPr>
            <w:r>
              <w:rPr>
                <w:rFonts w:cs="Garamond" w:ascii="Garamond" w:hAnsi="Garamond"/>
              </w:rPr>
            </w:r>
          </w:p>
        </w:tc>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Garamond" w:hAnsi="Garamond" w:cs="Garamond"/>
              </w:rPr>
            </w:pPr>
            <w:r>
              <w:rPr>
                <w:rFonts w:cs="Garamond"/>
              </w:rPr>
            </w:r>
          </w:p>
        </w:tc>
      </w:tr>
    </w:tbl>
    <w:p>
      <w:pPr>
        <w:pStyle w:val="Normal"/>
        <w:rPr/>
      </w:pPr>
      <w:r>
        <w:rPr/>
      </w:r>
    </w:p>
    <w:sectPr>
      <w:headerReference w:type="default" r:id="rId4"/>
      <w:headerReference w:type="first" r:id="rId5"/>
      <w:footerReference w:type="default" r:id="rId6"/>
      <w:footerReference w:type="first" r:id="rId7"/>
      <w:type w:val="nextPage"/>
      <w:pgSz w:w="12240" w:h="15840"/>
      <w:pgMar w:left="1440" w:right="1440" w:gutter="0" w:header="720" w:top="776"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Arial Black">
    <w:charset w:val="00" w:characterSet="windows-1252"/>
    <w:family w:val="swiss"/>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Enron - For Internal Use Only </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6</w:t>
    </w:r>
    <w:r>
      <w:rPr>
        <w:rStyle w:val="PageNumber"/>
      </w:rPr>
      <w:fldChar w:fldCharType="end"/>
    </w:r>
    <w:r>
      <w:rPr>
        <w:rStyle w:val="PageNumber"/>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 xml:space="preserve">Enron – For Internal Use Only </w:t>
      <w:tab/>
      <w:t xml:space="preserve">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6</w:t>
    </w:r>
    <w:r>
      <w:rPr>
        <w:rStyle w:val="PageNumber"/>
      </w:rPr>
      <w:fldChar w:fldCharType="end"/>
    </w:r>
  </w:p>
  <w:p>
    <w:pPr>
      <w:pStyle w:val="Footer"/>
      <w:rPr/>
    </w:pPr>
    <w:r>
      <w:rPr>
        <w:rStyle w:val="PageNumber"/>
        <w:rFonts w:eastAsia="Garamond"/>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240"/>
        <w:tab w:val="left" w:pos="270" w:leader="none"/>
        <w:tab w:val="left" w:pos="5760" w:leader="none"/>
      </w:tabs>
      <w:rPr>
        <w:b/>
        <w:sz w:val="24"/>
      </w:rPr>
    </w:pPr>
    <w:r>
      <w:rPr>
        <w:b/>
        <w:sz w:val="24"/>
      </w:rPr>
      <w:t>GLOBAL MARKETS Monitor (27 October 2000)</w:t>
    </w:r>
  </w:p>
  <w:p>
    <w:pPr>
      <w:pStyle w:val="Header"/>
      <w:tabs>
        <w:tab w:val="clear" w:pos="240"/>
        <w:tab w:val="left" w:pos="270" w:leader="none"/>
        <w:tab w:val="left" w:pos="5760" w:leader="none"/>
      </w:tabs>
      <w:rPr>
        <w:b/>
        <w:sz w:val="24"/>
      </w:rPr>
    </w:pPr>
    <w:r>
      <w:rPr>
        <w:b/>
        <w:sz w:val="24"/>
      </w:rPr>
      <w:t>ENA Research Group, continued</w:t>
    </w:r>
  </w:p>
  <w:p>
    <w:pPr>
      <w:pStyle w:val="Header"/>
      <w:tabs>
        <w:tab w:val="clear" w:pos="240"/>
        <w:tab w:val="left" w:pos="270" w:leader="none"/>
        <w:tab w:val="left" w:pos="5760" w:leader="none"/>
      </w:tabs>
      <w:spacing w:before="0" w:after="60"/>
      <w:rPr>
        <w:b/>
        <w:sz w:val="24"/>
      </w:rPr>
    </w:pPr>
    <w:r>
      <w:rPr>
        <w:b/>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suppressLineNumbers/>
      <w:spacing w:before="0" w:after="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sz w:val="16"/>
      </w:rPr>
    </w:lvl>
  </w:abstractNum>
  <w:abstractNum w:abstractNumId="3">
    <w:lvl w:ilvl="0">
      <w:start w:val="1"/>
      <w:numFmt w:val="bullet"/>
      <w:lvlText w:val=""/>
      <w:lvlJc w:val="start"/>
      <w:pPr>
        <w:tabs>
          <w:tab w:val="num" w:pos="360"/>
        </w:tabs>
        <w:ind w:start="360" w:hanging="360"/>
      </w:pPr>
      <w:rPr>
        <w:rFonts w:ascii="Wingdings" w:hAnsi="Wingdings" w:cs="Wingdings" w:hint="default"/>
        <w:sz w:val="16"/>
      </w:rPr>
    </w:lvl>
  </w:abstractNum>
  <w:abstractNum w:abstractNumId="4">
    <w:lvl w:ilvl="0">
      <w:start w:val="1"/>
      <w:numFmt w:val="bullet"/>
      <w:lvlText w:val=""/>
      <w:lvlJc w:val="start"/>
      <w:pPr>
        <w:tabs>
          <w:tab w:val="num" w:pos="360"/>
        </w:tabs>
        <w:ind w:start="360" w:hanging="360"/>
      </w:pPr>
      <w:rPr>
        <w:rFonts w:ascii="Wingdings" w:hAnsi="Wingdings" w:cs="Wingdings" w:hint="default"/>
        <w:sz w:val="16"/>
      </w:rPr>
    </w:lvl>
  </w:abstractNum>
  <w:abstractNum w:abstractNumId="5">
    <w:lvl w:ilvl="0">
      <w:start w:val="1"/>
      <w:numFmt w:val="bullet"/>
      <w:lvlText w:val=""/>
      <w:lvlJc w:val="start"/>
      <w:pPr>
        <w:tabs>
          <w:tab w:val="num" w:pos="360"/>
        </w:tabs>
        <w:ind w:start="360" w:hanging="360"/>
      </w:pPr>
      <w:rPr>
        <w:rFonts w:ascii="Wingdings" w:hAnsi="Wingdings" w:cs="Wingdings" w:hint="default"/>
        <w:sz w:val="16"/>
      </w:rPr>
    </w:lvl>
  </w:abstractNum>
  <w:abstractNum w:abstractNumId="6">
    <w:lvl w:ilvl="0">
      <w:start w:val="1"/>
      <w:numFmt w:val="bullet"/>
      <w:lvlText w:val=""/>
      <w:lvlJc w:val="start"/>
      <w:pPr>
        <w:tabs>
          <w:tab w:val="num" w:pos="360"/>
        </w:tabs>
        <w:ind w:start="360" w:hanging="360"/>
      </w:pPr>
      <w:rPr>
        <w:rFonts w:ascii="Wingdings" w:hAnsi="Wingdings" w:cs="Wingdings" w:hint="default"/>
        <w:sz w:val="16"/>
      </w:rPr>
    </w:lvl>
  </w:abstractNum>
  <w:abstractNum w:abstractNumId="7">
    <w:lvl w:ilvl="0">
      <w:start w:val="1"/>
      <w:numFmt w:val="bullet"/>
      <w:lvlText w:val=""/>
      <w:lvlJc w:val="start"/>
      <w:pPr>
        <w:tabs>
          <w:tab w:val="num" w:pos="360"/>
        </w:tabs>
        <w:ind w:start="360" w:hanging="360"/>
      </w:pPr>
      <w:rPr>
        <w:rFonts w:ascii="Wingdings" w:hAnsi="Wingdings" w:cs="Wingdings" w:hint="default"/>
        <w:sz w:val="16"/>
      </w:rPr>
    </w:lvl>
  </w:abstractNum>
  <w:abstractNum w:abstractNumId="8">
    <w:lvl w:ilvl="0">
      <w:start w:val="1"/>
      <w:numFmt w:val="bullet"/>
      <w:lvlText w:val=""/>
      <w:lvlJc w:val="start"/>
      <w:pPr>
        <w:tabs>
          <w:tab w:val="num" w:pos="360"/>
        </w:tabs>
        <w:ind w:start="360" w:hanging="360"/>
      </w:pPr>
      <w:rPr>
        <w:rFonts w:ascii="Wingdings" w:hAnsi="Wingdings" w:cs="Wingdings" w:hint="default"/>
        <w:sz w:val="16"/>
      </w:rPr>
    </w:lvl>
  </w:abstractNum>
  <w:abstractNum w:abstractNumId="9">
    <w:lvl w:ilvl="0">
      <w:start w:val="1"/>
      <w:numFmt w:val="bullet"/>
      <w:lvlText w:val=""/>
      <w:lvlJc w:val="start"/>
      <w:pPr>
        <w:tabs>
          <w:tab w:val="num" w:pos="360"/>
        </w:tabs>
        <w:ind w:start="360" w:hanging="360"/>
      </w:pPr>
      <w:rPr>
        <w:rFonts w:ascii="Wingdings" w:hAnsi="Wingdings" w:cs="Wingdings" w:hint="default"/>
        <w:sz w:val="16"/>
      </w:rPr>
    </w:lvl>
  </w:abstractNum>
  <w:abstractNum w:abstractNumId="10">
    <w:lvl w:ilvl="0">
      <w:start w:val="1"/>
      <w:numFmt w:val="decimal"/>
      <w:lvlText w:val="%1"/>
      <w:lvlJc w:val="start"/>
      <w:pPr>
        <w:tabs>
          <w:tab w:val="num" w:pos="240"/>
        </w:tabs>
        <w:ind w:start="240" w:hanging="2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Garamond" w:hAnsi="Garamond" w:eastAsia="Times New Roman" w:cs="Garamond"/>
      <w:color w:val="auto"/>
      <w:spacing w:val="-4"/>
      <w:sz w:val="20"/>
      <w:szCs w:val="20"/>
      <w:lang w:val="en-US" w:eastAsia="zh-CN" w:bidi="hi-IN"/>
    </w:rPr>
  </w:style>
  <w:style w:type="paragraph" w:styleId="Heading1">
    <w:name w:val="heading 1"/>
    <w:basedOn w:val="Normal"/>
    <w:next w:val="BodyText"/>
    <w:qFormat/>
    <w:pPr>
      <w:numPr>
        <w:ilvl w:val="0"/>
        <w:numId w:val="1"/>
      </w:numPr>
      <w:pBdr>
        <w:top w:val="single" w:sz="6" w:space="3" w:color="FFFFFF"/>
        <w:left w:val="single" w:sz="6" w:space="3" w:color="FFFFFF"/>
        <w:bottom w:val="single" w:sz="6" w:space="3" w:color="FFFFFF"/>
        <w:right w:val="single" w:sz="6" w:space="3" w:color="FFFFFF"/>
      </w:pBdr>
      <w:shd w:fill="E5E5E5" w:val="clear"/>
      <w:spacing w:before="0" w:after="160"/>
      <w:ind w:hanging="0" w:start="48" w:end="48"/>
      <w:outlineLvl w:val="0"/>
    </w:pPr>
    <w:rPr>
      <w:rFonts w:ascii="Arial Black" w:hAnsi="Arial Black" w:cs="Arial Black"/>
      <w:spacing w:val="-15"/>
      <w:sz w:val="22"/>
      <w:vertAlign w:val="superscript"/>
    </w:rPr>
  </w:style>
  <w:style w:type="paragraph" w:styleId="Heading2">
    <w:name w:val="heading 2"/>
    <w:basedOn w:val="Normal"/>
    <w:next w:val="BodyText"/>
    <w:qFormat/>
    <w:pPr>
      <w:numPr>
        <w:ilvl w:val="1"/>
        <w:numId w:val="1"/>
      </w:numPr>
      <w:spacing w:before="0" w:after="120"/>
      <w:outlineLvl w:val="1"/>
    </w:pPr>
    <w:rPr>
      <w:rFonts w:ascii="Arial Black" w:hAnsi="Arial Black" w:cs="Arial Black"/>
      <w:spacing w:val="-8"/>
      <w:sz w:val="18"/>
    </w:rPr>
  </w:style>
  <w:style w:type="paragraph" w:styleId="Heading3">
    <w:name w:val="heading 3"/>
    <w:basedOn w:val="Normal"/>
    <w:next w:val="BodyText"/>
    <w:qFormat/>
    <w:pPr>
      <w:numPr>
        <w:ilvl w:val="2"/>
        <w:numId w:val="1"/>
      </w:numPr>
      <w:spacing w:before="0" w:after="120"/>
      <w:outlineLvl w:val="2"/>
    </w:pPr>
    <w:rPr>
      <w:i/>
      <w:sz w:val="24"/>
    </w:rPr>
  </w:style>
  <w:style w:type="paragraph" w:styleId="Heading4">
    <w:name w:val="heading 4"/>
    <w:basedOn w:val="Normal"/>
    <w:next w:val="BodyText"/>
    <w:qFormat/>
    <w:pPr>
      <w:keepNext w:val="true"/>
      <w:numPr>
        <w:ilvl w:val="3"/>
        <w:numId w:val="1"/>
      </w:numPr>
      <w:spacing w:before="360" w:after="360"/>
      <w:ind w:hanging="0" w:start="24" w:end="-48"/>
      <w:outlineLvl w:val="3"/>
    </w:pPr>
    <w:rPr>
      <w:spacing w:val="-30"/>
      <w:sz w:val="52"/>
    </w:rPr>
  </w:style>
  <w:style w:type="paragraph" w:styleId="Heading5">
    <w:name w:val="heading 5"/>
    <w:basedOn w:val="Normal"/>
    <w:next w:val="BodyText"/>
    <w:qFormat/>
    <w:pPr>
      <w:keepNext w:val="true"/>
      <w:numPr>
        <w:ilvl w:val="4"/>
        <w:numId w:val="1"/>
      </w:numPr>
      <w:pBdr>
        <w:top w:val="single" w:sz="6" w:space="3" w:color="FFFFFF"/>
        <w:left w:val="single" w:sz="6" w:space="3" w:color="FFFFFF"/>
        <w:bottom w:val="single" w:sz="6" w:space="3" w:color="FFFFFF"/>
        <w:right w:val="single" w:sz="6" w:space="3" w:color="FFFFFF"/>
      </w:pBdr>
      <w:shd w:fill="B2B2B2" w:val="clear"/>
      <w:ind w:hanging="0" w:start="60" w:end="0"/>
      <w:outlineLvl w:val="4"/>
    </w:pPr>
    <w:rPr>
      <w:rFonts w:ascii="Arial Black" w:hAnsi="Arial Black" w:cs="Arial Black"/>
      <w:color w:val="FFFFFF"/>
      <w:spacing w:val="-15"/>
      <w:sz w:val="24"/>
      <w:vertAlign w:val="superscript"/>
    </w:rPr>
  </w:style>
  <w:style w:type="paragraph" w:styleId="Heading6">
    <w:name w:val="heading 6"/>
    <w:basedOn w:val="Normal"/>
    <w:next w:val="BodyText"/>
    <w:qFormat/>
    <w:pPr>
      <w:numPr>
        <w:ilvl w:val="5"/>
        <w:numId w:val="1"/>
      </w:numPr>
      <w:spacing w:before="0" w:after="120"/>
      <w:jc w:val="both"/>
      <w:outlineLvl w:val="5"/>
    </w:pPr>
    <w:rPr>
      <w:rFonts w:ascii="Arial Black" w:hAnsi="Arial Black" w:cs="Arial Black"/>
      <w:spacing w:val="-8"/>
      <w:sz w:val="18"/>
    </w:rPr>
  </w:style>
  <w:style w:type="paragraph" w:styleId="Heading7">
    <w:name w:val="heading 7"/>
    <w:basedOn w:val="Normal"/>
    <w:next w:val="BodyText"/>
    <w:qFormat/>
    <w:pPr>
      <w:numPr>
        <w:ilvl w:val="6"/>
        <w:numId w:val="1"/>
      </w:numPr>
      <w:spacing w:before="0" w:after="360"/>
      <w:jc w:val="both"/>
      <w:outlineLvl w:val="6"/>
    </w:pPr>
    <w:rPr>
      <w:sz w:val="22"/>
    </w:rPr>
  </w:style>
  <w:style w:type="paragraph" w:styleId="Heading8">
    <w:name w:val="heading 8"/>
    <w:basedOn w:val="Normal"/>
    <w:next w:val="Normal"/>
    <w:qFormat/>
    <w:pPr>
      <w:numPr>
        <w:ilvl w:val="7"/>
        <w:numId w:val="1"/>
      </w:numPr>
      <w:spacing w:before="2540" w:after="0"/>
      <w:outlineLvl w:val="7"/>
    </w:pPr>
    <w:rPr>
      <w:i/>
      <w:spacing w:val="-10"/>
      <w:sz w:val="44"/>
    </w:rPr>
  </w:style>
  <w:style w:type="paragraph" w:styleId="Heading9">
    <w:name w:val="heading 9"/>
    <w:basedOn w:val="Normal"/>
    <w:next w:val="Normal"/>
    <w:qFormat/>
    <w:pPr>
      <w:keepNext w:val="true"/>
      <w:numPr>
        <w:ilvl w:val="8"/>
        <w:numId w:val="1"/>
      </w:numPr>
      <w:outlineLvl w:val="8"/>
    </w:pPr>
    <w:rPr>
      <w:b/>
      <w:color w:val="FFFFFF"/>
      <w:sz w:val="2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Wingdings" w:hAnsi="Wingdings" w:cs="Wingdings"/>
      <w:sz w:val="16"/>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sz w:val="16"/>
    </w:rPr>
  </w:style>
  <w:style w:type="character" w:styleId="WW8Num6z0">
    <w:name w:val="WW8Num6z0"/>
    <w:qFormat/>
    <w:rPr>
      <w:rFonts w:ascii="Wingdings" w:hAnsi="Wingdings" w:cs="Wingdings"/>
      <w:sz w:val="16"/>
    </w:rPr>
  </w:style>
  <w:style w:type="character" w:styleId="WW8Num7z0">
    <w:name w:val="WW8Num7z0"/>
    <w:qFormat/>
    <w:rPr>
      <w:rFonts w:ascii="Wingdings" w:hAnsi="Wingdings" w:cs="Wingdings"/>
      <w:sz w:val="16"/>
    </w:rPr>
  </w:style>
  <w:style w:type="character" w:styleId="WW8Num8z0">
    <w:name w:val="WW8Num8z0"/>
    <w:qFormat/>
    <w:rPr>
      <w:rFonts w:ascii="Wingdings" w:hAnsi="Wingdings" w:cs="Wingdings"/>
      <w:sz w:val="16"/>
    </w:rPr>
  </w:style>
  <w:style w:type="character" w:styleId="WW8Num9z0">
    <w:name w:val="WW8Num9z0"/>
    <w:qFormat/>
    <w:rPr>
      <w:rFonts w:ascii="Wingdings" w:hAnsi="Wingdings" w:cs="Wingdings"/>
      <w:sz w:val="16"/>
    </w:rPr>
  </w:style>
  <w:style w:type="character" w:styleId="WW8Num10z0">
    <w:name w:val="WW8Num10z0"/>
    <w:qFormat/>
    <w:rPr>
      <w:rFonts w:ascii="Wingdings" w:hAnsi="Wingdings" w:cs="Wingdings"/>
      <w:sz w:val="16"/>
    </w:rPr>
  </w:style>
  <w:style w:type="character" w:styleId="WW8Num11z0">
    <w:name w:val="WW8Num11z0"/>
    <w:qFormat/>
    <w:rPr>
      <w:rFonts w:ascii="Wingdings" w:hAnsi="Wingdings" w:cs="Wingdings"/>
      <w:sz w:val="16"/>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sz w:val="16"/>
    </w:rPr>
  </w:style>
  <w:style w:type="character" w:styleId="WW8Num14z0">
    <w:name w:val="WW8Num14z0"/>
    <w:qFormat/>
    <w:rPr>
      <w:rFonts w:ascii="Wingdings" w:hAnsi="Wingdings" w:cs="Wingdings"/>
      <w:sz w:val="16"/>
    </w:rPr>
  </w:style>
  <w:style w:type="character" w:styleId="WW8Num15z0">
    <w:name w:val="WW8Num15z0"/>
    <w:qFormat/>
    <w:rPr>
      <w:rFonts w:ascii="Wingdings" w:hAnsi="Wingdings" w:cs="Wingdings"/>
      <w:sz w:val="16"/>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sz w:val="16"/>
    </w:rPr>
  </w:style>
  <w:style w:type="character" w:styleId="WW8Num18z0">
    <w:name w:val="WW8Num18z0"/>
    <w:qFormat/>
    <w:rPr>
      <w:rFonts w:ascii="Wingdings" w:hAnsi="Wingdings" w:cs="Wingdings"/>
      <w:sz w:val="16"/>
    </w:rPr>
  </w:style>
  <w:style w:type="character" w:styleId="WW8Num19z0">
    <w:name w:val="WW8Num19z0"/>
    <w:qFormat/>
    <w:rPr>
      <w:rFonts w:ascii="Wingdings" w:hAnsi="Wingdings" w:cs="Wingdings"/>
      <w:sz w:val="16"/>
    </w:rPr>
  </w:style>
  <w:style w:type="character" w:styleId="WW8Num20z0">
    <w:name w:val="WW8Num20z0"/>
    <w:qFormat/>
    <w:rPr>
      <w:rFonts w:ascii="Wingdings" w:hAnsi="Wingdings" w:cs="Wingdings"/>
      <w:sz w:val="16"/>
    </w:rPr>
  </w:style>
  <w:style w:type="character" w:styleId="WW8Num21z0">
    <w:name w:val="WW8Num21z0"/>
    <w:qFormat/>
    <w:rPr>
      <w:rFonts w:ascii="Wingdings" w:hAnsi="Wingdings" w:cs="Wingdings"/>
      <w:sz w:val="16"/>
    </w:rPr>
  </w:style>
  <w:style w:type="character" w:styleId="WW8Num22z0">
    <w:name w:val="WW8Num22z0"/>
    <w:qFormat/>
    <w:rPr>
      <w:rFonts w:ascii="Wingdings" w:hAnsi="Wingdings" w:cs="Wingdings"/>
      <w:sz w:val="16"/>
    </w:rPr>
  </w:style>
  <w:style w:type="character" w:styleId="WW8Num23z0">
    <w:name w:val="WW8Num23z0"/>
    <w:qFormat/>
    <w:rPr>
      <w:rFonts w:ascii="Wingdings" w:hAnsi="Wingdings" w:cs="Wingdings"/>
      <w:sz w:val="16"/>
    </w:rPr>
  </w:style>
  <w:style w:type="character" w:styleId="WW8Num24z0">
    <w:name w:val="WW8Num24z0"/>
    <w:qFormat/>
    <w:rPr>
      <w:rFonts w:ascii="Wingdings" w:hAnsi="Wingdings" w:cs="Wingdings"/>
      <w:sz w:val="16"/>
    </w:rPr>
  </w:style>
  <w:style w:type="character" w:styleId="WW8Num25z0">
    <w:name w:val="WW8Num25z0"/>
    <w:qFormat/>
    <w:rPr>
      <w:rFonts w:ascii="Wingdings" w:hAnsi="Wingdings" w:cs="Wingdings"/>
      <w:sz w:val="16"/>
    </w:rPr>
  </w:style>
  <w:style w:type="character" w:styleId="WW8Num26z0">
    <w:name w:val="WW8Num26z0"/>
    <w:qFormat/>
    <w:rPr>
      <w:rFonts w:ascii="Wingdings" w:hAnsi="Wingdings" w:cs="Wingdings"/>
      <w:sz w:val="16"/>
    </w:rPr>
  </w:style>
  <w:style w:type="character" w:styleId="WW8Num27z0">
    <w:name w:val="WW8Num27z0"/>
    <w:qFormat/>
    <w:rPr>
      <w:rFonts w:ascii="Wingdings" w:hAnsi="Wingdings" w:cs="Wingdings"/>
      <w:sz w:val="16"/>
    </w:rPr>
  </w:style>
  <w:style w:type="character" w:styleId="WW8Num28z0">
    <w:name w:val="WW8Num28z0"/>
    <w:qFormat/>
    <w:rPr>
      <w:rFonts w:ascii="Wingdings" w:hAnsi="Wingdings" w:cs="Wingdings"/>
      <w:sz w:val="16"/>
    </w:rPr>
  </w:style>
  <w:style w:type="character" w:styleId="WW8Num29z0">
    <w:name w:val="WW8Num29z0"/>
    <w:qFormat/>
    <w:rPr>
      <w:rFonts w:ascii="Wingdings" w:hAnsi="Wingdings" w:cs="Wingdings"/>
      <w:sz w:val="16"/>
    </w:rPr>
  </w:style>
  <w:style w:type="character" w:styleId="WW8Num30z0">
    <w:name w:val="WW8Num30z0"/>
    <w:qFormat/>
    <w:rPr>
      <w:rFonts w:ascii="Wingdings" w:hAnsi="Wingdings" w:cs="Wingdings"/>
      <w:sz w:val="16"/>
    </w:rPr>
  </w:style>
  <w:style w:type="character" w:styleId="WW8Num31z0">
    <w:name w:val="WW8Num31z0"/>
    <w:qFormat/>
    <w:rPr>
      <w:rFonts w:ascii="Wingdings" w:hAnsi="Wingdings" w:cs="Wingdings"/>
      <w:sz w:val="16"/>
    </w:rPr>
  </w:style>
  <w:style w:type="character" w:styleId="WW8Num32z0">
    <w:name w:val="WW8Num32z0"/>
    <w:qFormat/>
    <w:rPr>
      <w:rFonts w:ascii="Wingdings" w:hAnsi="Wingdings" w:cs="Wingdings"/>
    </w:rPr>
  </w:style>
  <w:style w:type="character" w:styleId="WW8Num33z0">
    <w:name w:val="WW8Num33z0"/>
    <w:qFormat/>
    <w:rPr>
      <w:rFonts w:ascii="Wingdings" w:hAnsi="Wingdings" w:cs="Wingdings"/>
      <w:sz w:val="16"/>
    </w:rPr>
  </w:style>
  <w:style w:type="character" w:styleId="WW8Num34z0">
    <w:name w:val="WW8Num34z0"/>
    <w:qFormat/>
    <w:rPr>
      <w:rFonts w:ascii="Wingdings" w:hAnsi="Wingdings" w:cs="Wingdings"/>
      <w:sz w:val="16"/>
    </w:rPr>
  </w:style>
  <w:style w:type="character" w:styleId="WW8Num35z0">
    <w:name w:val="WW8Num35z0"/>
    <w:qFormat/>
    <w:rPr>
      <w:rFonts w:ascii="Wingdings" w:hAnsi="Wingdings" w:cs="Wingdings"/>
      <w:sz w:val="16"/>
    </w:rPr>
  </w:style>
  <w:style w:type="character" w:styleId="WW8Num36z0">
    <w:name w:val="WW8Num36z0"/>
    <w:qFormat/>
    <w:rPr>
      <w:rFonts w:ascii="Wingdings" w:hAnsi="Wingdings" w:cs="Wingdings"/>
      <w:sz w:val="16"/>
    </w:rPr>
  </w:style>
  <w:style w:type="character" w:styleId="WW8Num37z0">
    <w:name w:val="WW8Num37z0"/>
    <w:qFormat/>
    <w:rPr>
      <w:rFonts w:ascii="Wingdings" w:hAnsi="Wingdings" w:cs="Wingdings"/>
      <w:sz w:val="16"/>
    </w:rPr>
  </w:style>
  <w:style w:type="character" w:styleId="WW8Num38z0">
    <w:name w:val="WW8Num38z0"/>
    <w:qFormat/>
    <w:rPr>
      <w:rFonts w:ascii="Wingdings" w:hAnsi="Wingdings" w:cs="Wingdings"/>
      <w:sz w:val="16"/>
    </w:rPr>
  </w:style>
  <w:style w:type="character" w:styleId="WW8Num39z0">
    <w:name w:val="WW8Num39z0"/>
    <w:qFormat/>
    <w:rPr>
      <w:rFonts w:ascii="Wingdings" w:hAnsi="Wingdings" w:cs="Wingdings"/>
      <w:sz w:val="16"/>
    </w:rPr>
  </w:style>
  <w:style w:type="character" w:styleId="WW8Num40z0">
    <w:name w:val="WW8Num40z0"/>
    <w:qFormat/>
    <w:rPr>
      <w:rFonts w:ascii="Wingdings" w:hAnsi="Wingdings" w:cs="Wingdings"/>
      <w:sz w:val="16"/>
    </w:rPr>
  </w:style>
  <w:style w:type="character" w:styleId="WW8Num41z0">
    <w:name w:val="WW8Num41z0"/>
    <w:qFormat/>
    <w:rPr>
      <w:rFonts w:ascii="Wingdings" w:hAnsi="Wingdings" w:cs="Wingdings"/>
      <w:sz w:val="16"/>
    </w:rPr>
  </w:style>
  <w:style w:type="character" w:styleId="WW8Num42z0">
    <w:name w:val="WW8Num42z0"/>
    <w:qFormat/>
    <w:rPr>
      <w:rFonts w:ascii="Wingdings" w:hAnsi="Wingdings" w:cs="Wingdings"/>
      <w:sz w:val="16"/>
    </w:rPr>
  </w:style>
  <w:style w:type="character" w:styleId="WW8Num43z0">
    <w:name w:val="WW8Num43z0"/>
    <w:qFormat/>
    <w:rPr>
      <w:rFonts w:ascii="Wingdings" w:hAnsi="Wingdings" w:cs="Wingdings"/>
      <w:sz w:val="16"/>
    </w:rPr>
  </w:style>
  <w:style w:type="character" w:styleId="WW8Num44z0">
    <w:name w:val="WW8Num44z0"/>
    <w:qFormat/>
    <w:rPr>
      <w:rFonts w:ascii="Wingdings" w:hAnsi="Wingdings" w:cs="Wingdings"/>
      <w:sz w:val="16"/>
    </w:rPr>
  </w:style>
  <w:style w:type="character" w:styleId="WW8Num45z0">
    <w:name w:val="WW8Num45z0"/>
    <w:qFormat/>
    <w:rPr>
      <w:rFonts w:ascii="Wingdings" w:hAnsi="Wingdings" w:cs="Wingdings"/>
      <w:sz w:val="16"/>
    </w:rPr>
  </w:style>
  <w:style w:type="character" w:styleId="WW8Num46z0">
    <w:name w:val="WW8Num46z0"/>
    <w:qFormat/>
    <w:rPr>
      <w:rFonts w:ascii="Wingdings" w:hAnsi="Wingdings" w:cs="Wingdings"/>
      <w:sz w:val="16"/>
    </w:rPr>
  </w:style>
  <w:style w:type="character" w:styleId="WW8Num47z0">
    <w:name w:val="WW8Num47z0"/>
    <w:qFormat/>
    <w:rPr>
      <w:rFonts w:ascii="Wingdings" w:hAnsi="Wingdings" w:cs="Wingdings"/>
      <w:sz w:val="16"/>
    </w:rPr>
  </w:style>
  <w:style w:type="character" w:styleId="WW8Num48z0">
    <w:name w:val="WW8Num48z0"/>
    <w:qFormat/>
    <w:rPr>
      <w:rFonts w:ascii="Wingdings" w:hAnsi="Wingdings" w:cs="Wingdings"/>
      <w:sz w:val="16"/>
    </w:rPr>
  </w:style>
  <w:style w:type="character" w:styleId="WW8Num49z0">
    <w:name w:val="WW8Num49z0"/>
    <w:qFormat/>
    <w:rPr>
      <w:rFonts w:ascii="Wingdings" w:hAnsi="Wingdings" w:cs="Wingdings"/>
      <w:sz w:val="16"/>
    </w:rPr>
  </w:style>
  <w:style w:type="character" w:styleId="WW8Num50z0">
    <w:name w:val="WW8Num50z0"/>
    <w:qFormat/>
    <w:rPr>
      <w:rFonts w:ascii="Wingdings" w:hAnsi="Wingdings" w:cs="Wingdings"/>
      <w:sz w:val="16"/>
    </w:rPr>
  </w:style>
  <w:style w:type="character" w:styleId="DefaultParagraphFont">
    <w:name w:val="Default Paragraph Font"/>
    <w:qFormat/>
    <w:rPr/>
  </w:style>
  <w:style w:type="character" w:styleId="PageNumber">
    <w:name w:val="page number"/>
    <w:rPr/>
  </w:style>
  <w:style w:type="character" w:styleId="Emphasis">
    <w:name w:val="Emphasis"/>
    <w:basedOn w:val="DefaultParagraphFont"/>
    <w:qFormat/>
    <w:rPr>
      <w:rFonts w:ascii="Arial Black" w:hAnsi="Arial Black" w:cs="Arial Black"/>
      <w:spacing w:val="-8"/>
      <w:sz w:val="18"/>
    </w:rPr>
  </w:style>
  <w:style w:type="character" w:styleId="Lead-inEmphasis">
    <w:name w:val="Lead-in Emphasis"/>
    <w:basedOn w:val="DefaultParagraphFont"/>
    <w:qFormat/>
    <w:rPr>
      <w:caps/>
      <w:spacing w:val="20"/>
      <w:sz w:val="16"/>
    </w:rPr>
  </w:style>
  <w:style w:type="paragraph" w:styleId="Heading">
    <w:name w:val="Heading"/>
    <w:basedOn w:val="Normal"/>
    <w:next w:val="Subtitle"/>
    <w:qFormat/>
    <w:pPr>
      <w:pBdr>
        <w:top w:val="single" w:sz="48" w:space="24" w:color="C0C0C0"/>
      </w:pBdr>
      <w:spacing w:lineRule="exact" w:line="380" w:before="40" w:after="20"/>
    </w:pPr>
    <w:rPr>
      <w:rFonts w:ascii="Arial Black" w:hAnsi="Arial Black" w:cs="Arial Black"/>
      <w:spacing w:val="-25"/>
      <w:kern w:val="2"/>
      <w:sz w:val="36"/>
    </w:rPr>
  </w:style>
  <w:style w:type="paragraph" w:styleId="BodyText">
    <w:name w:val="Body Text"/>
    <w:basedOn w:val="Normal"/>
    <w:pPr>
      <w:ind w:firstLine="240" w:start="0" w:end="0"/>
      <w:jc w:val="both"/>
    </w:pPr>
    <w:rPr>
      <w:sz w:val="22"/>
    </w:rPr>
  </w:style>
  <w:style w:type="paragraph" w:styleId="List">
    <w:name w:val="List"/>
    <w:basedOn w:val="Normal"/>
    <w:pPr>
      <w:numPr>
        <w:ilvl w:val="0"/>
        <w:numId w:val="12"/>
      </w:numPr>
      <w:spacing w:before="0" w:after="120"/>
      <w:jc w:val="both"/>
    </w:pPr>
    <w:rPr>
      <w:sz w:val="22"/>
    </w:rPr>
  </w:style>
  <w:style w:type="paragraph" w:styleId="Caption">
    <w:name w:val="caption"/>
    <w:basedOn w:val="Normal"/>
    <w:next w:val="BodyText"/>
    <w:qFormat/>
    <w:pPr>
      <w:spacing w:lineRule="atLeast" w:line="200" w:before="0" w:after="120"/>
      <w:jc w:val="both"/>
    </w:pPr>
    <w:rPr>
      <w:rFonts w:ascii="Arial Black" w:hAnsi="Arial Black" w:cs="Arial Black"/>
      <w:sz w:val="14"/>
    </w:rPr>
  </w:style>
  <w:style w:type="paragraph" w:styleId="Index">
    <w:name w:val="Index"/>
    <w:basedOn w:val="Normal"/>
    <w:qFormat/>
    <w:pPr>
      <w:suppressLineNumbers/>
    </w:pPr>
    <w:rPr>
      <w:rFonts w:cs="NotoSans NF"/>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pacing w:val="-4"/>
      <w:sz w:val="20"/>
      <w:szCs w:val="20"/>
      <w:lang w:val="en-US" w:eastAsia="zh-CN"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left" w:pos="240" w:leader="none"/>
      </w:tabs>
      <w:spacing w:before="0" w:after="60"/>
    </w:pPr>
    <w:rPr>
      <w:caps/>
      <w:sz w:val="18"/>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before="0" w:after="160"/>
      <w:ind w:firstLine="240" w:start="0" w:end="0"/>
      <w:jc w:val="both"/>
    </w:pPr>
    <w:rPr>
      <w:sz w:val="22"/>
    </w:rPr>
  </w:style>
  <w:style w:type="paragraph" w:styleId="BodyTextKeep">
    <w:name w:val="Body Text Keep"/>
    <w:basedOn w:val="BodyText"/>
    <w:next w:val="BodyText"/>
    <w:qFormat/>
    <w:pPr>
      <w:spacing w:before="0" w:after="320"/>
    </w:pPr>
    <w:rPr/>
  </w:style>
  <w:style w:type="paragraph" w:styleId="ListBullet21">
    <w:name w:val="List Bullet 21"/>
    <w:basedOn w:val="Normal"/>
    <w:qFormat/>
    <w:pPr>
      <w:numPr>
        <w:ilvl w:val="0"/>
        <w:numId w:val="10"/>
      </w:numPr>
      <w:ind w:hanging="240" w:start="240" w:end="0"/>
    </w:pPr>
    <w:rPr>
      <w:rFonts w:ascii="Arial Black" w:hAnsi="Arial Black" w:cs="Arial Black"/>
      <w:spacing w:val="-10"/>
      <w:sz w:val="18"/>
    </w:rPr>
  </w:style>
  <w:style w:type="paragraph" w:styleId="ListBullet2">
    <w:name w:val="List Bullet 2"/>
    <w:basedOn w:val="Normal"/>
    <w:pPr>
      <w:numPr>
        <w:ilvl w:val="0"/>
        <w:numId w:val="11"/>
      </w:numPr>
      <w:spacing w:lineRule="atLeast" w:line="300"/>
    </w:pPr>
    <w:rPr>
      <w:rFonts w:ascii="Arial Black" w:hAnsi="Arial Black" w:cs="Arial Black"/>
      <w:spacing w:val="-10"/>
      <w:sz w:val="18"/>
    </w:rPr>
  </w:style>
  <w:style w:type="paragraph" w:styleId="DocumentLabel">
    <w:name w:val="Document Label"/>
    <w:basedOn w:val="Normal"/>
    <w:next w:val="BodyText"/>
    <w:qFormat/>
    <w:pPr>
      <w:pBdr>
        <w:top w:val="single" w:sz="6" w:space="6" w:color="000000"/>
        <w:bottom w:val="single" w:sz="6" w:space="6" w:color="000000"/>
      </w:pBdr>
      <w:spacing w:lineRule="exact" w:line="1500" w:before="120" w:after="0"/>
      <w:ind w:hanging="0" w:start="36" w:end="0"/>
    </w:pPr>
    <w:rPr>
      <w:rFonts w:ascii="Arial Black" w:hAnsi="Arial Black" w:cs="Arial Black"/>
      <w:color w:val="808080"/>
      <w:spacing w:val="-110"/>
      <w:sz w:val="144"/>
    </w:rPr>
  </w:style>
  <w:style w:type="paragraph" w:styleId="Picture2">
    <w:name w:val="Picture 2"/>
    <w:basedOn w:val="Normal"/>
    <w:next w:val="BodyText"/>
    <w:qFormat/>
    <w:pPr/>
    <w:rPr>
      <w:spacing w:val="-25"/>
      <w:sz w:val="48"/>
    </w:rPr>
  </w:style>
  <w:style w:type="paragraph" w:styleId="Subtitle">
    <w:name w:val="Subtitle"/>
    <w:basedOn w:val="Normal"/>
    <w:next w:val="BodyText"/>
    <w:qFormat/>
    <w:pPr>
      <w:spacing w:lineRule="atLeast" w:line="280" w:before="0" w:after="480"/>
    </w:pPr>
    <w:rPr>
      <w:i/>
      <w:spacing w:val="-5"/>
      <w:sz w:val="28"/>
    </w:rPr>
  </w:style>
  <w:style w:type="paragraph" w:styleId="Picture">
    <w:name w:val="Picture"/>
    <w:basedOn w:val="Normal"/>
    <w:next w:val="Caption"/>
    <w:qFormat/>
    <w:pPr>
      <w:spacing w:lineRule="atLeast" w:line="200" w:before="0" w:after="160"/>
      <w:jc w:val="both"/>
    </w:pPr>
    <w:rPr/>
  </w:style>
  <w:style w:type="paragraph" w:styleId="ListBullet">
    <w:name w:val="List Bullet"/>
    <w:basedOn w:val="Normal"/>
    <w:qFormat/>
    <w:pPr>
      <w:numPr>
        <w:ilvl w:val="0"/>
        <w:numId w:val="13"/>
      </w:numPr>
      <w:spacing w:before="0" w:after="120"/>
      <w:ind w:hanging="240" w:start="240" w:end="0"/>
      <w:jc w:val="both"/>
    </w:pPr>
    <w:rPr>
      <w:sz w:val="22"/>
    </w:rPr>
  </w:style>
  <w:style w:type="paragraph" w:styleId="ReturnAddress">
    <w:name w:val="Return Address"/>
    <w:basedOn w:val="Normal"/>
    <w:qFormat/>
    <w:pPr/>
    <w:rPr>
      <w:sz w:val="22"/>
    </w:rPr>
  </w:style>
  <w:style w:type="paragraph" w:styleId="BodyText2">
    <w:name w:val="Body Text 2"/>
    <w:basedOn w:val="Normal"/>
    <w:qFormat/>
    <w:pPr/>
    <w:rPr>
      <w:color w:val="FF000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2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2000-10-29T20:24:00Z</dcterms:created>
  <dc:creator>gkoepke</dc:creator>
  <dc:description/>
  <dc:language>en-CA</dc:language>
  <cp:lastModifiedBy>gkoepke</cp:lastModifiedBy>
  <cp:lastPrinted>2000-10-29T16:53:00Z</cp:lastPrinted>
  <dcterms:modified xsi:type="dcterms:W3CDTF">2000-10-30T23:09:00Z</dcterms:modified>
  <cp:revision>7</cp:revision>
  <dc:subject/>
  <dc:title/>
</cp:coreProperties>
</file>