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lang w:val="en-CA"/>
        </w:rPr>
      </w:pPr>
      <w:r>
        <w:rPr>
          <w:sz w:val="22"/>
          <w:lang w:val="en-CA"/>
        </w:rPr>
        <w:object w:dxaOrig="1019" w:dyaOrig="87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14.4pt;width:72pt;height:64.8pt;mso-wrap-distance-left:9.05pt;mso-wrap-distance-right:9.05pt;mso-position-horizontal-relative:text;mso-position-vertical-relative:text" filled="f" o:ole="">
            <v:imagedata r:id="rId3" o:title=""/>
            <w10:wrap type="topAndBottom"/>
          </v:shape>
          <o:OLEObject Type="Embed" ProgID="" ShapeID="ole_rId2" DrawAspect="Content" ObjectID="_1302517659" r:id="rId2"/>
        </w:object>
      </w:r>
      <w:r>
        <mc:AlternateContent>
          <mc:Choice Requires="wps">
            <w:drawing>
              <wp:anchor behindDoc="0" distT="0" distB="0" distL="114935" distR="114935" simplePos="0" locked="0" layoutInCell="1" allowOverlap="1" relativeHeight="3">
                <wp:simplePos x="0" y="0"/>
                <wp:positionH relativeFrom="column">
                  <wp:posOffset>3830955</wp:posOffset>
                </wp:positionH>
                <wp:positionV relativeFrom="paragraph">
                  <wp:posOffset>-100965</wp:posOffset>
                </wp:positionV>
                <wp:extent cx="2579370" cy="750570"/>
                <wp:effectExtent l="0" t="0" r="0" b="0"/>
                <wp:wrapNone/>
                <wp:docPr id="1" name="Frame1"/>
                <a:graphic xmlns:a="http://schemas.openxmlformats.org/drawingml/2006/main">
                  <a:graphicData uri="http://schemas.microsoft.com/office/word/2010/wordprocessingShape">
                    <wps:wsp>
                      <wps:cNvSpPr txBox="1"/>
                      <wps:spPr>
                        <a:xfrm>
                          <a:off x="0" y="0"/>
                          <a:ext cx="2579370" cy="750570"/>
                        </a:xfrm>
                        <a:prstGeom prst="rect"/>
                        <a:solidFill>
                          <a:srgbClr val="FFFFFF"/>
                        </a:solidFill>
                        <a:ln w="9525">
                          <a:solidFill>
                            <a:srgbClr val="FF0000"/>
                          </a:solidFill>
                        </a:ln>
                      </wps:spPr>
                      <wps:txbx>
                        <w:txbxContent>
                          <w:p>
                            <w:pPr>
                              <w:pStyle w:val="Normal"/>
                              <w:rPr>
                                <w:b/>
                                <w:color w:val="0000FF"/>
                                <w:sz w:val="24"/>
                              </w:rPr>
                            </w:pPr>
                            <w:r>
                              <w:rPr>
                                <w:b/>
                                <w:color w:val="0000FF"/>
                                <w:sz w:val="24"/>
                              </w:rPr>
                              <w:t>ENA Research Group</w:t>
                            </w:r>
                          </w:p>
                          <w:p>
                            <w:pPr>
                              <w:pStyle w:val="Heading9"/>
                              <w:ind w:hanging="0" w:start="0"/>
                              <w:rPr>
                                <w:color w:val="0000FF"/>
                                <w:sz w:val="24"/>
                              </w:rPr>
                            </w:pPr>
                            <w:r>
                              <w:rPr>
                                <w:color w:val="0000FF"/>
                                <w:sz w:val="24"/>
                              </w:rPr>
                              <w:t>Country Risk and Foreign Exchange</w:t>
                            </w:r>
                          </w:p>
                          <w:p>
                            <w:pPr>
                              <w:pStyle w:val="Normal"/>
                              <w:rPr>
                                <w:color w:val="0000FF"/>
                              </w:rPr>
                            </w:pPr>
                            <w:r>
                              <w:rPr>
                                <w:color w:val="0000FF"/>
                              </w:rPr>
                              <w:t>Maureen Raymond-Castañeda</w:t>
                            </w:r>
                          </w:p>
                          <w:p>
                            <w:pPr>
                              <w:pStyle w:val="Normal"/>
                              <w:rPr>
                                <w:color w:val="0000FF"/>
                              </w:rPr>
                            </w:pPr>
                            <w:r>
                              <w:rPr>
                                <w:color w:val="0000FF"/>
                              </w:rPr>
                              <w:t>Gwyn E. Koepke</w:t>
                            </w:r>
                          </w:p>
                          <w:p>
                            <w:pPr>
                              <w:pStyle w:val="Normal"/>
                              <w:rPr>
                                <w:color w:val="808080"/>
                                <w:sz w:val="24"/>
                              </w:rPr>
                            </w:pPr>
                            <w:r>
                              <w:rPr>
                                <w:color w:val="808080"/>
                                <w:sz w:val="24"/>
                              </w:rPr>
                            </w:r>
                          </w:p>
                        </w:txbxContent>
                      </wps:txbx>
                      <wps:bodyPr anchor="t" lIns="91440" tIns="45720" rIns="91440" bIns="45720">
                        <a:noAutofit/>
                      </wps:bodyPr>
                    </wps:wsp>
                  </a:graphicData>
                </a:graphic>
              </wp:anchor>
            </w:drawing>
          </mc:Choice>
          <mc:Fallback>
            <w:pict>
              <v:rect fillcolor="#FFFFFF" strokecolor="#FF0000" strokeweight="0pt" style="position:absolute;rotation:-0;width:203.1pt;height:59.1pt;mso-wrap-distance-left:9.05pt;mso-wrap-distance-right:9.05pt;mso-wrap-distance-top:0pt;mso-wrap-distance-bottom:0pt;margin-top:-7.95pt;mso-position-vertical-relative:text;margin-left:301.65pt;mso-position-horizontal-relative:text">
                <v:textbox>
                  <w:txbxContent>
                    <w:p>
                      <w:pPr>
                        <w:pStyle w:val="Normal"/>
                        <w:rPr>
                          <w:b/>
                          <w:color w:val="0000FF"/>
                          <w:sz w:val="24"/>
                        </w:rPr>
                      </w:pPr>
                      <w:r>
                        <w:rPr>
                          <w:b/>
                          <w:color w:val="0000FF"/>
                          <w:sz w:val="24"/>
                        </w:rPr>
                        <w:t>ENA Research Group</w:t>
                      </w:r>
                    </w:p>
                    <w:p>
                      <w:pPr>
                        <w:pStyle w:val="Heading9"/>
                        <w:ind w:hanging="0" w:start="0"/>
                        <w:rPr>
                          <w:color w:val="0000FF"/>
                          <w:sz w:val="24"/>
                        </w:rPr>
                      </w:pPr>
                      <w:r>
                        <w:rPr>
                          <w:color w:val="0000FF"/>
                          <w:sz w:val="24"/>
                        </w:rPr>
                        <w:t>Country Risk and Foreign Exchange</w:t>
                      </w:r>
                    </w:p>
                    <w:p>
                      <w:pPr>
                        <w:pStyle w:val="Normal"/>
                        <w:rPr>
                          <w:color w:val="0000FF"/>
                        </w:rPr>
                      </w:pPr>
                      <w:r>
                        <w:rPr>
                          <w:color w:val="0000FF"/>
                        </w:rPr>
                        <w:t>Maureen Raymond-Castañeda</w:t>
                      </w:r>
                    </w:p>
                    <w:p>
                      <w:pPr>
                        <w:pStyle w:val="Normal"/>
                        <w:rPr>
                          <w:color w:val="0000FF"/>
                        </w:rPr>
                      </w:pPr>
                      <w:r>
                        <w:rPr>
                          <w:color w:val="0000FF"/>
                        </w:rPr>
                        <w:t>Gwyn E. Koepke</w:t>
                      </w:r>
                    </w:p>
                    <w:p>
                      <w:pPr>
                        <w:pStyle w:val="Normal"/>
                        <w:rPr>
                          <w:color w:val="808080"/>
                          <w:sz w:val="24"/>
                        </w:rPr>
                      </w:pPr>
                      <w:r>
                        <w:rPr>
                          <w:color w:val="808080"/>
                          <w:sz w:val="24"/>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-104140</wp:posOffset>
                </wp:positionH>
                <wp:positionV relativeFrom="paragraph">
                  <wp:posOffset>-104140</wp:posOffset>
                </wp:positionV>
                <wp:extent cx="3865880" cy="756920"/>
                <wp:effectExtent l="0" t="0" r="0" b="0"/>
                <wp:wrapNone/>
                <wp:docPr id="2" name="Frame2"/>
                <a:graphic xmlns:a="http://schemas.openxmlformats.org/drawingml/2006/main">
                  <a:graphicData uri="http://schemas.microsoft.com/office/word/2010/wordprocessingShape">
                    <wps:wsp>
                      <wps:cNvSpPr txBox="1"/>
                      <wps:spPr>
                        <a:xfrm>
                          <a:off x="0" y="0"/>
                          <a:ext cx="3865880" cy="756920"/>
                        </a:xfrm>
                        <a:prstGeom prst="rect"/>
                        <a:solidFill>
                          <a:srgbClr val="3366FF"/>
                        </a:solidFill>
                        <a:ln w="12700">
                          <a:solidFill>
                            <a:srgbClr val="FF0000"/>
                          </a:solidFill>
                        </a:ln>
                      </wps:spPr>
                      <wps:txbx>
                        <w:txbxContent>
                          <w:p>
                            <w:pPr>
                              <w:pStyle w:val="Normal"/>
                              <w:rPr>
                                <w:b/>
                                <w:color w:val="FFFFFF"/>
                                <w:sz w:val="28"/>
                              </w:rPr>
                            </w:pPr>
                            <w:r>
                              <w:rPr>
                                <w:b/>
                                <w:color w:val="FFFFFF"/>
                                <w:sz w:val="28"/>
                              </w:rPr>
                              <w:t>GLOBAL MARKETS MONITOR</w:t>
                            </w:r>
                          </w:p>
                          <w:p>
                            <w:pPr>
                              <w:pStyle w:val="Normal"/>
                              <w:rPr>
                                <w:b/>
                                <w:color w:val="FFFFFF"/>
                                <w:sz w:val="24"/>
                              </w:rPr>
                            </w:pPr>
                            <w:r>
                              <w:rPr>
                                <w:b/>
                                <w:color w:val="FFFFFF"/>
                                <w:sz w:val="24"/>
                              </w:rPr>
                            </w:r>
                          </w:p>
                          <w:p>
                            <w:pPr>
                              <w:pStyle w:val="Heading9"/>
                              <w:ind w:hanging="0" w:start="0"/>
                              <w:rPr>
                                <w:color w:val="808080"/>
                              </w:rPr>
                            </w:pPr>
                            <w:r>
                              <w:rPr/>
                              <w:t>Published on: 1 December 2000</w:t>
                            </w:r>
                          </w:p>
                          <w:p>
                            <w:pPr>
                              <w:pStyle w:val="Normal"/>
                              <w:rPr>
                                <w:b/>
                                <w:color w:val="808080"/>
                              </w:rPr>
                            </w:pPr>
                            <w:r>
                              <w:rPr>
                                <w:b/>
                                <w:color w:val="808080"/>
                              </w:rPr>
                            </w:r>
                          </w:p>
                        </w:txbxContent>
                      </wps:txbx>
                      <wps:bodyPr anchor="t" lIns="91440" tIns="45720" rIns="91440" bIns="45720">
                        <a:noAutofit/>
                      </wps:bodyPr>
                    </wps:wsp>
                  </a:graphicData>
                </a:graphic>
              </wp:anchor>
            </w:drawing>
          </mc:Choice>
          <mc:Fallback>
            <w:pict>
              <v:rect fillcolor="#3366FF" strokecolor="#FF0000" strokeweight="1pt" style="position:absolute;rotation:-0;width:304.4pt;height:59.6pt;mso-wrap-distance-left:9.05pt;mso-wrap-distance-right:9.05pt;mso-wrap-distance-top:0pt;mso-wrap-distance-bottom:0pt;margin-top:-8.2pt;mso-position-vertical-relative:text;margin-left:-8.2pt;mso-position-horizontal-relative:text">
                <v:textbox>
                  <w:txbxContent>
                    <w:p>
                      <w:pPr>
                        <w:pStyle w:val="Normal"/>
                        <w:rPr>
                          <w:b/>
                          <w:color w:val="FFFFFF"/>
                          <w:sz w:val="28"/>
                        </w:rPr>
                      </w:pPr>
                      <w:r>
                        <w:rPr>
                          <w:b/>
                          <w:color w:val="FFFFFF"/>
                          <w:sz w:val="28"/>
                        </w:rPr>
                        <w:t>GLOBAL MARKETS MONITOR</w:t>
                      </w:r>
                    </w:p>
                    <w:p>
                      <w:pPr>
                        <w:pStyle w:val="Normal"/>
                        <w:rPr>
                          <w:b/>
                          <w:color w:val="FFFFFF"/>
                          <w:sz w:val="24"/>
                        </w:rPr>
                      </w:pPr>
                      <w:r>
                        <w:rPr>
                          <w:b/>
                          <w:color w:val="FFFFFF"/>
                          <w:sz w:val="24"/>
                        </w:rPr>
                      </w:r>
                    </w:p>
                    <w:p>
                      <w:pPr>
                        <w:pStyle w:val="Heading9"/>
                        <w:ind w:hanging="0" w:start="0"/>
                        <w:rPr>
                          <w:color w:val="808080"/>
                        </w:rPr>
                      </w:pPr>
                      <w:r>
                        <w:rPr/>
                        <w:t>Published on: 1 December 2000</w:t>
                      </w:r>
                    </w:p>
                    <w:p>
                      <w:pPr>
                        <w:pStyle w:val="Normal"/>
                        <w:rPr>
                          <w:b/>
                          <w:color w:val="808080"/>
                        </w:rPr>
                      </w:pPr>
                      <w:r>
                        <w:rPr>
                          <w:b/>
                          <w:color w:val="808080"/>
                        </w:rPr>
                      </w:r>
                    </w:p>
                  </w:txbxContent>
                </v:textbox>
                <w10:wrap type="none"/>
              </v:rect>
            </w:pict>
          </mc:Fallback>
        </mc:AlternateContent>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end w:val="single" w:sz="4" w:space="0" w:color="000000"/>
            </w:tcBorders>
            <w:shd w:fill="0000FF" w:val="clear"/>
          </w:tcPr>
          <w:p>
            <w:pPr>
              <w:pStyle w:val="Normal"/>
              <w:rPr>
                <w:b/>
                <w:color w:val="FFFFFF"/>
                <w:sz w:val="28"/>
              </w:rPr>
            </w:pPr>
            <w:r>
              <w:rPr>
                <w:b/>
                <w:color w:val="FFFFFF"/>
                <w:sz w:val="28"/>
              </w:rPr>
              <w:t>Economic and Central Bank Monitor</w:t>
            </w:r>
          </w:p>
        </w:tc>
      </w:tr>
      <w:tr>
        <w:trPr/>
        <w:tc>
          <w:tcPr>
            <w:tcW w:w="10188" w:type="dxa"/>
            <w:tcBorders>
              <w:top w:val="single" w:sz="4" w:space="0" w:color="000000"/>
              <w:start w:val="single" w:sz="4" w:space="0" w:color="000000"/>
              <w:bottom w:val="single" w:sz="4" w:space="0" w:color="000000"/>
              <w:end w:val="single" w:sz="4" w:space="0" w:color="000000"/>
            </w:tcBorders>
            <w:shd w:fill="DFDFDF" w:val="clear"/>
          </w:tcPr>
          <w:p>
            <w:pPr>
              <w:pStyle w:val="Normal"/>
              <w:rPr>
                <w:b/>
                <w:i/>
                <w:i/>
                <w:sz w:val="28"/>
              </w:rPr>
            </w:pPr>
            <w:r>
              <w:rPr>
                <w:b/>
                <w:i/>
                <w:sz w:val="28"/>
              </w:rPr>
              <w:t>North America</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Times New Roman" w:hAnsi="Times New Roman" w:cs="Times New Roman"/>
                <w:b/>
                <w:sz w:val="22"/>
              </w:rPr>
            </w:pPr>
            <w:r>
              <w:rPr>
                <w:rFonts w:cs="Times New Roman" w:ascii="Times New Roman" w:hAnsi="Times New Roman"/>
                <w:b/>
                <w:sz w:val="22"/>
              </w:rPr>
              <w:t xml:space="preserve">Much Ado About the U.S. Economy: </w:t>
            </w:r>
            <w:r>
              <w:rPr>
                <w:rFonts w:cs="Times New Roman" w:ascii="Times New Roman" w:hAnsi="Times New Roman"/>
                <w:sz w:val="22"/>
              </w:rPr>
              <w:t>Tighter monetary policy has slowed economic activity to 2.4 percent in 3Q00 (revised downward from the initial estimate of 2.7 percent), the slowest pace of annualized quarterly economic growth in five years, after expanding at a 5.6 percent clip in 2Q00.  Consumer spending, which accounts for two thirds of U.S. economic activity, rose only slightly in October (0.2 percent) after its brisk jump in September (0.9 percent) despite the fact that personal income rose in October (0.5 percent, excluding farm subsidies) after rising 0.4 percent in September.   However, rising incomes have not prompted American consumers to save more, based on the decline in personal savings in October.  Higher interest rates have also taken their toll on single-family home sales, which fell for a second straight month in October by more than initial estimates.  In the manufacturing sector, new orders for durable goods fell 5.5 percent month-on-month in October, indicating a slowdown in business investment.  Manufacturing results in November, based on the NAPM survey, indicate a fourth consecutive monthly contraction, reflecting rising inventories and slowing demand for automobiles.  A dramatic plunge in Chicago’s November PMI to 41.7 a level consistent with the low point of the 1990-91 recession, however, does not yet point to a nationwide trend.  The Chicago PMI is heavily influenced by the auto sector, which is desperately trying to work off excess inventories.  Although most of the U.S. economic data releases this week confirmed a slowdown in the U.S. economy, many analysts believe that any perceived sustained weakness in the U.S. economy is exaggerated.  The central question still remains whether the U.S. economy is cruising toward a soft landing.</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Times New Roman" w:hAnsi="Times New Roman" w:cs="Times New Roman"/>
                <w:b/>
                <w:sz w:val="22"/>
              </w:rPr>
            </w:pPr>
            <w:r>
              <w:rPr>
                <w:rFonts w:cs="Times New Roman" w:ascii="Times New Roman" w:hAnsi="Times New Roman"/>
                <w:b/>
                <w:sz w:val="22"/>
              </w:rPr>
              <w:t xml:space="preserve">What Might Happen to Interest Rates? </w:t>
            </w:r>
            <w:r>
              <w:rPr>
                <w:rFonts w:cs="Times New Roman" w:ascii="Times New Roman" w:hAnsi="Times New Roman"/>
                <w:sz w:val="22"/>
              </w:rPr>
              <w:t>The revision to 3Q00 GDP is not as low as some had expected.  Some reports had the revised estimate as low as 2.2 percent.  Markets are pondering whether the deceleration in U.S. economic activity is slow enough to mitigate the inflationary pressure from high oil prices and whether the correction in the U.S. stock market is sufficient to convince Fed policymakers to lower U.S. interest rates at its next FOMC meeting on December 19</w:t>
            </w:r>
            <w:r>
              <w:rPr>
                <w:rFonts w:cs="Times New Roman" w:ascii="Times New Roman" w:hAnsi="Times New Roman"/>
                <w:sz w:val="22"/>
                <w:vertAlign w:val="superscript"/>
              </w:rPr>
              <w:t>th</w:t>
            </w:r>
            <w:r>
              <w:rPr>
                <w:rFonts w:cs="Times New Roman" w:ascii="Times New Roman" w:hAnsi="Times New Roman"/>
                <w:sz w:val="22"/>
              </w:rPr>
              <w:t>.  Although the rumor mill may feed on the possibility of the easing at its next meeting on December19, as long as crude prices stay high and labor markets remain tight (U.S. unemployment is 3.9 percent), any expectations of a Fed rate cut by the holidays are premature.  The key question is whether or not the Fed will change its inflationary bias.  A host of Fed-speak this week indicates that resistance to dropping the inflationary bias remains strong, as Fed officials display a certain comfort with the pace of U.S. economic growth.  San Francisco Fed President Robert Parry (voting) said that “the economy is on track for continued, but moderated growth, with reasonably favorable inflation performance,” but that it is still too soon to judge whether the Fed has inflation risks under control.  Chicago Fed President Michael Moskow (non-voting) stated that the “risk of heightened inflation pressures still dominates.”  The Fed appears willing to tolerate below trend economic growth and target inflation, rather than growth.  Remember that the Fed Chairman Greenspan dwelled in his October 19</w:t>
            </w:r>
            <w:r>
              <w:rPr>
                <w:rFonts w:cs="Times New Roman" w:ascii="Times New Roman" w:hAnsi="Times New Roman"/>
                <w:sz w:val="22"/>
                <w:vertAlign w:val="superscript"/>
              </w:rPr>
              <w:t>th</w:t>
            </w:r>
            <w:r>
              <w:rPr>
                <w:rFonts w:cs="Times New Roman" w:ascii="Times New Roman" w:hAnsi="Times New Roman"/>
                <w:sz w:val="22"/>
              </w:rPr>
              <w:t xml:space="preserve"> speech on the potential problems posed by high oil prices.  The Fed needs more signs that inflation is under control.  A trimming of interest rates may be near, however, as the Fed funds futures rate fell Thursday, suggesting that investors believe the Fed will reduce borrowing costs as early as the March 2001 meeting.  </w:t>
            </w:r>
            <w:r>
              <w:rPr>
                <w:rFonts w:cs="Times New Roman" w:ascii="Times New Roman" w:hAnsi="Times New Roman"/>
                <w:b/>
                <w:sz w:val="22"/>
              </w:rPr>
              <w:t>We expect the Fed to hold rates steady on December 19</w:t>
            </w:r>
            <w:r>
              <w:rPr>
                <w:rFonts w:cs="Times New Roman" w:ascii="Times New Roman" w:hAnsi="Times New Roman"/>
                <w:b/>
                <w:sz w:val="22"/>
                <w:vertAlign w:val="superscript"/>
              </w:rPr>
              <w:t>th</w:t>
            </w:r>
            <w:r>
              <w:rPr>
                <w:rFonts w:cs="Times New Roman" w:ascii="Times New Roman" w:hAnsi="Times New Roman"/>
                <w:b/>
                <w:sz w:val="22"/>
              </w:rPr>
              <w:t xml:space="preserve"> and to retain its inflationary bias.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 xml:space="preserve">What Do Stock Market Woes Mean for Monetary Policy?  </w:t>
            </w:r>
            <w:r>
              <w:rPr>
                <w:rFonts w:cs="Times New Roman" w:ascii="Times New Roman" w:hAnsi="Times New Roman"/>
                <w:sz w:val="22"/>
              </w:rPr>
              <w:t xml:space="preserve">The Fed’s hesitation to alter its inflationary bias should not be interpreted as indifference to stock market weakness.  Some market participants were seeking a Fed cut in interest rates to help “bail out” the stock market, but this is unlikely following additional Fed statements by St. Louis Fed President Poole.  Poole (non-voting) asserts that the medium-term inflation objective is key to monetary policy making and that the Fed ought not to over emphasize any short-run objectives.  This suggests that Poole is not keen to cut rates.  “The Fed should take action when a lack of liquidity poses a risk to financial markets, rather than in response to daily volatility in stock prices.”  The Fed will probably resist shifting to a neutral stance as high oil prices persist.  </w:t>
            </w:r>
          </w:p>
        </w:tc>
      </w:tr>
      <w:tr>
        <w:trPr/>
        <w:tc>
          <w:tcPr>
            <w:tcW w:w="10188" w:type="dxa"/>
            <w:tcBorders>
              <w:top w:val="single" w:sz="4" w:space="0" w:color="000000"/>
              <w:start w:val="single" w:sz="4" w:space="0" w:color="000000"/>
              <w:end w:val="single" w:sz="4" w:space="0" w:color="000000"/>
            </w:tcBorders>
          </w:tcPr>
          <w:p>
            <w:pPr>
              <w:pStyle w:val="Normal"/>
              <w:numPr>
                <w:ilvl w:val="0"/>
                <w:numId w:val="8"/>
              </w:numPr>
              <w:rPr>
                <w:rFonts w:ascii="Times New Roman" w:hAnsi="Times New Roman" w:cs="Times New Roman"/>
                <w:b/>
                <w:sz w:val="22"/>
              </w:rPr>
            </w:pPr>
            <w:r>
              <w:rPr>
                <w:rFonts w:cs="Times New Roman" w:ascii="Times New Roman" w:hAnsi="Times New Roman"/>
                <w:b/>
                <w:sz w:val="22"/>
              </w:rPr>
              <w:t xml:space="preserve">Stock Market Plunges On Fears of Slowdown in Tech Spending and Corporate Profits:  </w:t>
            </w:r>
            <w:r>
              <w:rPr>
                <w:rFonts w:cs="Times New Roman" w:ascii="Times New Roman" w:hAnsi="Times New Roman"/>
                <w:sz w:val="22"/>
              </w:rPr>
              <w:t xml:space="preserve">The NASDAQ slide to its lowest level all year on Thursday (down 4 percent on the day) on clear evidence the U.S. economy is starting to drag its feet after an unprecedented 9-year expansion, reports which further damage an already battered profits picture for U.S. companies.  The NASDAQ fell 23 percent in November, the worst month for the tech-heavy index since the stock market crash of October 1987.  The 36 percent drop this year is reportedly the largest annual loss in the exchange’s 29-year history.  Third quarter after-tax corporate profits rose at a meager 0.6 percent annual rate after rising 2.5 percent during second quarter.  The flurry of soft U.S. economic data exacerbated the impact of Gateway and Altera comments on the selling frenzy on Wall Street this week after the computer maker and the chip manufacturer reported that sales would not meet forecasts.  These fears of a general slowdown in tech spending, which risks further weakness in corporate profits, lead to a slump in shares of software and hardware suppliers such as Microsoft, Intel and Cisco Systems.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 xml:space="preserve">Should the U.S. Worry About its Ever Increasing Trade Deficit? </w:t>
            </w:r>
            <w:r>
              <w:rPr>
                <w:rFonts w:cs="Times New Roman" w:ascii="Times New Roman" w:hAnsi="Times New Roman"/>
                <w:sz w:val="22"/>
              </w:rPr>
              <w:t>The U.S.’ international deficit of goods and services increased to $34 billion in September from $30 billion in August, as exports decreased and imports increased.  The third quarter drop in U.S. GDP was partly attributed to the burgeoning U.S. trade deficit, which widened to $96 billion in 3Q00.  The September deficit could lead to an annual trade deficit of $360 billion by year-end.  A trade deficit, in theory, is not all bad news, if the import demand is driven by corporate investment in new and existing businesses, therefore, will increase future economic activity.  However, trade deficits that are driven more by excessive consumption than by investment spending can lead to concerns of sustainability.  The current account deficit is the sum of the trade deficit and also includes interest payments.  Since the US is a net debtor with other nations in the world, interest payments pose an additional burden on the US economy.  The current account deficit is estimated to reach $430 billion this year.  The current account deficit is a measure of excess domestic demand relative to domestic output and must be funded by attracting capital from the rest of the world.  With falling equity prices in the US, its questionable whether foreigners will continue to pour money into US portfolio capital, which has been largely responsible for funding the current account deficit.  Of course, the strong dollar has led to slower exports, but in the interest of mitigating inflation the Treasury Secretary Summers continues to preach the importance of a strong greenback to U.S. interests.  Eventually this policy may be forced to reverse by the markets, whether Summers likes it or not.</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 xml:space="preserve">What Does All This News Mean for the Almighty Dollar? </w:t>
            </w:r>
            <w:r>
              <w:rPr>
                <w:rFonts w:cs="Times New Roman" w:ascii="Times New Roman" w:hAnsi="Times New Roman"/>
                <w:sz w:val="22"/>
              </w:rPr>
              <w:t xml:space="preserve">The dollar weakened, or rather the euro strengthened, to 87.30 U.S. cents Thursday, very near the level reached after the surprise coordinated central bank intervention in late September.  In addition to the confirmation of an U.S. economic slowdown, the heavy sell-off in U.S. equities this week is also hurting the dollar’s prospects.  After 18 months of steady interest rate increases in the U.S. and Europe, the next move by the Fed and the ECB may, in fact, diverge.  The ECB may raise rates to stem inflationary pressures, while the Fed could lower rates if it shifts to a neutral stance regarding inflation.  We may be witnessing the beginning of a shift from a growth differential to an interest rate differential dynamic in foreign currency outlook.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b/>
                <w:sz w:val="22"/>
              </w:rPr>
            </w:pPr>
            <w:r>
              <w:rPr>
                <w:rFonts w:cs="Times New Roman" w:ascii="Times New Roman" w:hAnsi="Times New Roman"/>
                <w:b/>
                <w:sz w:val="22"/>
              </w:rPr>
              <w:t xml:space="preserve">Chretien wins straight majority: </w:t>
            </w:r>
            <w:r>
              <w:rPr>
                <w:rFonts w:cs="Times New Roman" w:ascii="Times New Roman" w:hAnsi="Times New Roman"/>
                <w:sz w:val="22"/>
              </w:rPr>
              <w:t>On November 27</w:t>
            </w:r>
            <w:r>
              <w:rPr>
                <w:rFonts w:cs="Times New Roman" w:ascii="Times New Roman" w:hAnsi="Times New Roman"/>
                <w:sz w:val="22"/>
                <w:vertAlign w:val="superscript"/>
              </w:rPr>
              <w:t>th</w:t>
            </w:r>
            <w:r>
              <w:rPr>
                <w:rFonts w:cs="Times New Roman" w:ascii="Times New Roman" w:hAnsi="Times New Roman"/>
                <w:sz w:val="22"/>
              </w:rPr>
              <w:t xml:space="preserve"> Jean Chretien became the first Canadian Prime Minister to win a third consecutive majority government since World War </w:t>
            </w:r>
            <w:r>
              <w:rPr>
                <w:rFonts w:cs="Times New Roman" w:ascii="Times New Roman" w:hAnsi="Times New Roman"/>
                <w:color w:val="000000"/>
                <w:sz w:val="22"/>
                <w:lang w:eastAsia="en-US"/>
              </w:rPr>
              <w:t>II.  Chretien’s Liberal party</w:t>
            </w:r>
            <w:r>
              <w:rPr>
                <w:rFonts w:cs="Times New Roman" w:ascii="Times New Roman" w:hAnsi="Times New Roman"/>
                <w:color w:val="000000"/>
                <w:sz w:val="18"/>
                <w:lang w:eastAsia="en-US"/>
              </w:rPr>
              <w:t xml:space="preserve"> </w:t>
            </w:r>
            <w:r>
              <w:rPr>
                <w:rFonts w:cs="Times New Roman" w:ascii="Times New Roman" w:hAnsi="Times New Roman"/>
                <w:color w:val="000000"/>
                <w:sz w:val="22"/>
                <w:lang w:eastAsia="en-US"/>
              </w:rPr>
              <w:t>picked up seats in the Ontario region and Quebec, defying forecasts of an Alliance victory in the region giving the governing Liberals 173 out of 301 seats. Major opposition, Alliance Party led by Stockwell Day only gained six additional seats.  Liberals victory came on the heels of a strong performance of the Canadian economy.  Canadian GDP grew by 4.8 percent in the third quarter.  The Liberal Party program includes tax cuts and debt reduction using accumulated budget surpluses.  The victory of the Liberal Party can be largely attributed to Canada’s Finance Minister Paul Martin, whose prudent management has reduced domestic debt from a high of 71 percent to 60 percent of growth domestic product in the past five years.  Martin the most popular politician in Canada could easily become the next Prime Minister.  Canadian dollar rallied on the new of a majority government to 1.5360 CAD/US.</w:t>
            </w:r>
          </w:p>
        </w:tc>
      </w:tr>
    </w:tbl>
    <w:p>
      <w:pPr>
        <w:pStyle w:val="Normal"/>
        <w:spacing w:lineRule="auto" w:line="480"/>
        <w:rPr>
          <w:rFonts w:ascii="Times New Roman" w:hAnsi="Times New Roman" w:cs="Times New Roman"/>
          <w:sz w:val="22"/>
        </w:rPr>
      </w:pPr>
      <w:r>
        <w:rPr>
          <w:rFonts w:cs="Times New Roman" w:ascii="Times New Roman" w:hAnsi="Times New Roman"/>
          <w:sz w:val="22"/>
        </w:rPr>
      </w:r>
      <w:r>
        <w:br w:type="page"/>
      </w:r>
    </w:p>
    <w:p>
      <w:pPr>
        <w:pStyle w:val="Normal"/>
        <w:spacing w:lineRule="auto" w:line="480"/>
        <w:rPr>
          <w:rFonts w:ascii="Times New Roman" w:hAnsi="Times New Roman" w:cs="Times New Roman"/>
          <w:sz w:val="22"/>
        </w:rPr>
      </w:pPr>
      <w:r>
        <w:rPr>
          <w:rFonts w:cs="Times New Roman"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shd w:fill="DFDFDF" w:val="clear"/>
          </w:tcPr>
          <w:p>
            <w:pPr>
              <w:pStyle w:val="Normal"/>
              <w:rPr>
                <w:b/>
                <w:i/>
                <w:i/>
                <w:sz w:val="28"/>
              </w:rPr>
            </w:pPr>
            <w:r>
              <w:rPr>
                <w:b/>
                <w:i/>
                <w:sz w:val="28"/>
              </w:rPr>
              <w:t xml:space="preserve">Europe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ascii="Times New Roman" w:hAnsi="Times New Roman" w:cs="Times New Roman"/>
                <w:b/>
                <w:sz w:val="22"/>
              </w:rPr>
            </w:pPr>
            <w:r>
              <w:rPr>
                <w:rFonts w:cs="Times New Roman" w:ascii="Times New Roman" w:hAnsi="Times New Roman"/>
                <w:b/>
                <w:sz w:val="22"/>
              </w:rPr>
              <w:t xml:space="preserve">Euro Bounce: </w:t>
            </w:r>
            <w:r>
              <w:rPr>
                <w:rFonts w:cs="Times New Roman" w:ascii="Times New Roman" w:hAnsi="Times New Roman"/>
                <w:sz w:val="22"/>
              </w:rPr>
              <w:t>The euro traded stronger against the U.S. dollar late in the week, breaking above 87.00 U.S. cents on Thursday on a numbers of factors related more to dollar weakness then euro strength.  Further signs of a U.S. economic moderation, slowing U.S. corporate profits, and mild speculation that the ECB might intervene again all contributed to the euro’s bounce this week.  The euro received no immediate assistance from the ECB this week after it decided Thursday to leave its benchmark rate unchanged at 4.75 percent.</w:t>
            </w:r>
          </w:p>
        </w:tc>
      </w:tr>
      <w:tr>
        <w:trPr/>
        <w:tc>
          <w:tcPr>
            <w:tcW w:w="10188" w:type="dxa"/>
            <w:tcBorders>
              <w:top w:val="single" w:sz="4" w:space="0" w:color="000000"/>
              <w:start w:val="single" w:sz="4" w:space="0" w:color="000000"/>
              <w:end w:val="single" w:sz="4" w:space="0" w:color="000000"/>
            </w:tcBorders>
          </w:tcPr>
          <w:p>
            <w:pPr>
              <w:pStyle w:val="Normal"/>
              <w:numPr>
                <w:ilvl w:val="0"/>
                <w:numId w:val="7"/>
              </w:numPr>
              <w:rPr>
                <w:rFonts w:ascii="Times New Roman" w:hAnsi="Times New Roman" w:cs="Times New Roman"/>
                <w:b/>
                <w:sz w:val="22"/>
              </w:rPr>
            </w:pPr>
            <w:r>
              <w:rPr>
                <w:rFonts w:cs="Times New Roman" w:ascii="Times New Roman" w:hAnsi="Times New Roman"/>
                <w:b/>
                <w:sz w:val="22"/>
              </w:rPr>
              <w:t xml:space="preserve">Signs of Slower Economic Growth in Europe – Turning Oil Into Sand: </w:t>
            </w:r>
            <w:r>
              <w:rPr>
                <w:rFonts w:cs="Times New Roman" w:ascii="Times New Roman" w:hAnsi="Times New Roman"/>
                <w:sz w:val="22"/>
              </w:rPr>
              <w:t xml:space="preserve">Growth in Germany, Europe’s largest economy, rose a modest 0.6 percent in the third quarter (3.4 percent annually from 3.7 percent in second quarter). The German Bundesbank has written that soaring oil prices are pouring “sand into the growth mechanism” in Germany.  Another side effect of higher oil prices is on German business confidence, as measured by the closely watched Ifo index, which fell for a fifth consecutive month in October.  Meanwhile, France grew 0.7 percent in third quarter (3.1 percent annually from 3.4 percent in second quarter).  Germany and France account for nearly half of economic output in Europe.  Slower growth reflects, in large part, high energy prices that stunt purchasing power and higher interest rates. The ECB has hiked rates 175 basis points since the beginning of the year.  However, when compared to the paltry 2.4 percent growth of the US economy currency fundamentals will continue to favor the euro.  As we indicated last month, growth differentials between the euro region and the U.S. have narrowed and may now be pointing towards positive growth in favor of the euro zone.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rFonts w:ascii="Times New Roman" w:hAnsi="Times New Roman" w:cs="Times New Roman"/>
                <w:b/>
                <w:sz w:val="22"/>
              </w:rPr>
            </w:pPr>
            <w:r>
              <w:rPr>
                <w:rFonts w:cs="Times New Roman" w:ascii="Times New Roman" w:hAnsi="Times New Roman"/>
                <w:b/>
                <w:sz w:val="22"/>
              </w:rPr>
              <w:t xml:space="preserve">Possible Intervention “With the Wind:” </w:t>
            </w:r>
            <w:r>
              <w:rPr>
                <w:rFonts w:cs="Times New Roman" w:ascii="Times New Roman" w:hAnsi="Times New Roman"/>
                <w:sz w:val="22"/>
              </w:rPr>
              <w:t>Central bank intervention would be even more powerful now that the euro is showing signs of a recovery in late week trading on news that slower economic data is blowing in from the U.S.  Our belief is strengthened by recent comments by ECB officials, who believe the euro is undervalued 20 to 30 percent.   ECB President Wim Duisenberg said in the French press that he expects a “upward correction” in the euro’s value, which has a “strong” opportunity for euro appreciation.  He also stressed recently that intervention was meant “to break a prevailing thinking, or philosophy, prevalent in markets, that participants only have a one-way bet.”</w:t>
            </w:r>
            <w:r>
              <w:rPr>
                <w:rFonts w:cs="Times New Roman" w:ascii="Times New Roman" w:hAnsi="Times New Roman"/>
                <w:b/>
                <w:sz w:val="22"/>
              </w:rPr>
              <w:t xml:space="preserve"> </w:t>
            </w:r>
          </w:p>
        </w:tc>
      </w:tr>
      <w:tr>
        <w:trPr/>
        <w:tc>
          <w:tcPr>
            <w:tcW w:w="10188" w:type="dxa"/>
            <w:tcBorders>
              <w:start w:val="single" w:sz="4" w:space="0" w:color="000000"/>
              <w:bottom w:val="single" w:sz="4" w:space="0" w:color="000000"/>
              <w:end w:val="single" w:sz="4" w:space="0" w:color="000000"/>
            </w:tcBorders>
          </w:tcPr>
          <w:p>
            <w:pPr>
              <w:pStyle w:val="Normal"/>
              <w:numPr>
                <w:ilvl w:val="0"/>
                <w:numId w:val="5"/>
              </w:numPr>
              <w:rPr>
                <w:rFonts w:ascii="Times New Roman" w:hAnsi="Times New Roman" w:cs="Times New Roman"/>
                <w:b/>
                <w:sz w:val="22"/>
              </w:rPr>
            </w:pPr>
            <w:r>
              <w:rPr>
                <w:rFonts w:cs="Times New Roman" w:ascii="Times New Roman" w:hAnsi="Times New Roman"/>
                <w:b/>
                <w:sz w:val="22"/>
              </w:rPr>
              <w:t xml:space="preserve">Risks to Prices Remain on the Upside: </w:t>
            </w:r>
            <w:r>
              <w:rPr>
                <w:rFonts w:cs="Times New Roman" w:ascii="Times New Roman" w:hAnsi="Times New Roman"/>
                <w:sz w:val="22"/>
              </w:rPr>
              <w:t>Although the non-food and energy core inflation index has remained at a stable level, disappointing news on euro-land prices indicate that price pressures are still a risk in Europe.  Higher oil prices and a weak euro have caused producer prices in France, Italy and Spain to rise faster than expected in October.  German PPI rose by 4.6 in October, its fastest annual pace in 18 years.  The European Commission expects euro-zone CPI to average 2.3 percent in 2000 and 2.2 percent next year, higher than its earlier estimate for both years of 1.8 percent.</w:t>
            </w:r>
            <w:r>
              <w:rPr>
                <w:rFonts w:cs="Times New Roman" w:ascii="Times New Roman" w:hAnsi="Times New Roman"/>
                <w:b/>
                <w:sz w:val="22"/>
              </w:rPr>
              <w:t xml:space="preserve"> </w:t>
            </w:r>
          </w:p>
        </w:tc>
      </w:tr>
      <w:tr>
        <w:trPr/>
        <w:tc>
          <w:tcPr>
            <w:tcW w:w="10188" w:type="dxa"/>
            <w:tcBorders>
              <w:start w:val="single" w:sz="4" w:space="0" w:color="000000"/>
              <w:bottom w:val="single" w:sz="4" w:space="0" w:color="000000"/>
              <w:end w:val="single" w:sz="4" w:space="0" w:color="000000"/>
            </w:tcBorders>
          </w:tcPr>
          <w:p>
            <w:pPr>
              <w:pStyle w:val="Normal"/>
              <w:numPr>
                <w:ilvl w:val="0"/>
                <w:numId w:val="5"/>
              </w:numPr>
              <w:rPr>
                <w:rFonts w:ascii="Times New Roman" w:hAnsi="Times New Roman" w:cs="Times New Roman"/>
                <w:b/>
                <w:sz w:val="22"/>
              </w:rPr>
            </w:pPr>
            <w:r>
              <w:rPr>
                <w:rFonts w:cs="Times New Roman" w:ascii="Times New Roman" w:hAnsi="Times New Roman"/>
                <w:b/>
                <w:sz w:val="22"/>
              </w:rPr>
              <w:t xml:space="preserve">ECB Denies Change in Inflation Target: </w:t>
            </w:r>
            <w:r>
              <w:rPr>
                <w:rFonts w:cs="Times New Roman" w:ascii="Times New Roman" w:hAnsi="Times New Roman"/>
                <w:sz w:val="22"/>
              </w:rPr>
              <w:t>Contrary to a previous statement last month by ECB Vice Presidents Christian Noyer, Wim Duisenberg and Otmar Issing both denied that the ECB is shifting from focussing on headline inflation to an emphasis on core inflation.  “This is totally false and I vigorously deny any change in our attitude in this area,” Duisenberg stated.  Otmar Issing also chimed in this week, “It should be very clear that our commitment to guard against risks to price stability over the medium term was not made in terms of an ‘underlying’ or ‘core’ definition of inflation.”</w:t>
            </w:r>
          </w:p>
        </w:tc>
      </w:tr>
      <w:tr>
        <w:trPr/>
        <w:tc>
          <w:tcPr>
            <w:tcW w:w="10188" w:type="dxa"/>
            <w:tcBorders>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 xml:space="preserve">What About European Productivity? </w:t>
            </w:r>
            <w:r>
              <w:rPr>
                <w:rFonts w:cs="Times New Roman" w:ascii="Times New Roman" w:hAnsi="Times New Roman"/>
                <w:sz w:val="22"/>
              </w:rPr>
              <w:t xml:space="preserve">Although Europe is five years behind the U.S. in the macroeconomic contribution of information and communications technologies (ICT) growth according to the European Commission’s (EC) “2000 Review” of the EU economy, spending on information and communications technologies increased steadily in 2000.  The EC states that economic benefits of the new economy are on the “brink of arrival” in Europe.  Structural economic reform, new technology and market integration should all help to increase productivity and promote stronger, non-inflationary growth.  </w:t>
            </w:r>
          </w:p>
        </w:tc>
      </w:tr>
    </w:tbl>
    <w:p>
      <w:pPr>
        <w:pStyle w:val="Normal"/>
        <w:rPr/>
      </w:pPr>
      <w:r>
        <w:rPr/>
      </w:r>
      <w:r>
        <w:br w:type="page"/>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458"/>
        <w:gridCol w:w="1800"/>
        <w:gridCol w:w="1170"/>
        <w:gridCol w:w="2070"/>
        <w:gridCol w:w="2070"/>
        <w:gridCol w:w="1620"/>
      </w:tblGrid>
      <w:tr>
        <w:trPr/>
        <w:tc>
          <w:tcPr>
            <w:tcW w:w="10188" w:type="dxa"/>
            <w:gridSpan w:val="6"/>
            <w:tcBorders>
              <w:top w:val="single" w:sz="4" w:space="0" w:color="000000"/>
              <w:start w:val="single" w:sz="4" w:space="0" w:color="000000"/>
              <w:bottom w:val="single" w:sz="4" w:space="0" w:color="000000"/>
              <w:end w:val="single" w:sz="4" w:space="0" w:color="000000"/>
            </w:tcBorders>
            <w:shd w:fill="DFDFDF" w:val="clear"/>
          </w:tcPr>
          <w:p>
            <w:pPr>
              <w:pStyle w:val="Normal"/>
              <w:rPr>
                <w:b/>
                <w:i/>
                <w:i/>
                <w:sz w:val="28"/>
              </w:rPr>
            </w:pPr>
            <w:r>
              <w:rPr>
                <w:b/>
                <w:i/>
                <w:sz w:val="28"/>
              </w:rPr>
              <w:t xml:space="preserve">Asia/Pacific </w:t>
            </w:r>
          </w:p>
        </w:tc>
      </w:tr>
      <w:tr>
        <w:trPr/>
        <w:tc>
          <w:tcPr>
            <w:tcW w:w="10188"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ascii="Times New Roman" w:hAnsi="Times New Roman" w:cs="Times New Roman"/>
                <w:b/>
                <w:sz w:val="22"/>
              </w:rPr>
            </w:pPr>
            <w:r>
              <w:rPr>
                <w:rFonts w:cs="Times New Roman" w:ascii="Times New Roman" w:hAnsi="Times New Roman"/>
                <w:b/>
                <w:sz w:val="22"/>
              </w:rPr>
              <w:t xml:space="preserve">Mori Survives a Motion of No Confidence: </w:t>
            </w:r>
            <w:r>
              <w:rPr>
                <w:rFonts w:cs="Times New Roman" w:ascii="Times New Roman" w:hAnsi="Times New Roman"/>
                <w:sz w:val="22"/>
              </w:rPr>
              <w:t xml:space="preserve">Although the government of Prime Minister Yoshiro Mori survived a no-confidence motion on November 20 by a comfortable majority, his administration is seriously weakened and the LDP severely divided.  There is no shortage of threats to political stability in Japan.  The government failed to achieve an absolute majority in parliament amid a political rebellion, many are calling for the early replacement of Mori as prime minister, and historically crises have come at a time when voter dissatisfaction with established political parties, and the LDP in particular, has increased.  </w:t>
            </w:r>
          </w:p>
        </w:tc>
      </w:tr>
      <w:tr>
        <w:trPr/>
        <w:tc>
          <w:tcPr>
            <w:tcW w:w="10188"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ascii="Times New Roman" w:hAnsi="Times New Roman" w:cs="Times New Roman"/>
                <w:b/>
                <w:sz w:val="22"/>
              </w:rPr>
            </w:pPr>
            <w:r>
              <w:rPr>
                <w:rFonts w:cs="Times New Roman" w:ascii="Times New Roman" w:hAnsi="Times New Roman"/>
                <w:b/>
                <w:sz w:val="22"/>
              </w:rPr>
              <w:t xml:space="preserve">BoJ’s Nobuyuki Nakahara Speaks in Favor of Zero Interest Rate Policy (ZIRP): </w:t>
            </w:r>
            <w:r>
              <w:rPr>
                <w:rFonts w:cs="Times New Roman" w:ascii="Times New Roman" w:hAnsi="Times New Roman"/>
                <w:sz w:val="22"/>
              </w:rPr>
              <w:t>The most persistent dove on the BOJ’s policy decision board stated last week, ”The economy is at a delicate stage with strong downward pressure on prices stemming from weak demand.”  His comments reiterated his strong belief that ending the zero interest rate policy was premature.  The BOJ minutes of the October 31 meeting showed that he proposed quantitative measures by adopting an inflationary target and boosting the monetary base, however, he was voted down 8-1.</w:t>
            </w:r>
          </w:p>
        </w:tc>
      </w:tr>
      <w:tr>
        <w:trPr/>
        <w:tc>
          <w:tcPr>
            <w:tcW w:w="10188"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Times New Roman" w:hAnsi="Times New Roman" w:cs="Times New Roman"/>
                <w:b/>
                <w:sz w:val="22"/>
              </w:rPr>
            </w:pPr>
            <w:r>
              <w:rPr>
                <w:rFonts w:cs="Times New Roman" w:ascii="Times New Roman" w:hAnsi="Times New Roman"/>
                <w:b/>
                <w:sz w:val="22"/>
              </w:rPr>
              <w:t xml:space="preserve">BoJ Holds: </w:t>
            </w:r>
            <w:r>
              <w:rPr>
                <w:rFonts w:cs="Times New Roman" w:ascii="Times New Roman" w:hAnsi="Times New Roman"/>
                <w:sz w:val="22"/>
              </w:rPr>
              <w:t xml:space="preserve">The BOJ held interest rates steady as the momentum of the Japanese economic recovery is showing signs of abating, and the government tries to stem the fall in the Nikkei.  Legislators from the ruling Liberal Democratic Party this week urged the BOJ to help prop up stocks.  Some LDP members said Masaru Hayami, Governor of the BOJ should resign if the US government slows more, forcing the BOJ to cut rates to buffer Japan.  The government opposed the BOJ’s decision to abolish the ZIRP in August by raising interest rates to .25 b.p. from zero percent.  According to Nikko Sato, “The BOJ won’t return to a zero interest policy unless a real emergency situation comes up…and it has become very difficult to foresee another rate hike next year.” </w:t>
            </w:r>
          </w:p>
        </w:tc>
      </w:tr>
      <w:tr>
        <w:trPr/>
        <w:tc>
          <w:tcPr>
            <w:tcW w:w="10188"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Times New Roman" w:hAnsi="Times New Roman" w:cs="Times New Roman"/>
                <w:b/>
                <w:sz w:val="22"/>
              </w:rPr>
            </w:pPr>
            <w:r>
              <w:rPr>
                <w:rFonts w:cs="Times New Roman" w:ascii="Times New Roman" w:hAnsi="Times New Roman"/>
                <w:b/>
                <w:sz w:val="22"/>
              </w:rPr>
              <w:t xml:space="preserve">Japan’s Bad Loans Are Bad News for the Nikkei: </w:t>
            </w:r>
            <w:r>
              <w:rPr>
                <w:rFonts w:cs="Times New Roman" w:ascii="Times New Roman" w:hAnsi="Times New Roman"/>
                <w:sz w:val="22"/>
              </w:rPr>
              <w:t xml:space="preserve">Reflecting a collapse in large Japanese corporations, a recent earnings report indicates that from the end of September, Japan’s major banks had to write off Y1.6 trillion worth of bad loans.  Japanese banks apparently rely heavily on equity selling as the main source of bad loan liquidation, and they may sell as much as Y3.0 trillion worth of cross-holdings by the fiscal year-end.  This news can not bode well for Japanese equities.  The Nikkei index, which fell to its lowest level all year on Wednesday November 22 after closing at 14301.3, has been stuck below the 15,000 level since November 9.  </w:t>
            </w:r>
          </w:p>
        </w:tc>
      </w:tr>
      <w:tr>
        <w:trPr/>
        <w:tc>
          <w:tcPr>
            <w:tcW w:w="10188" w:type="dxa"/>
            <w:gridSpan w:val="6"/>
            <w:tcBorders>
              <w:top w:val="single" w:sz="4" w:space="0" w:color="000000"/>
              <w:start w:val="single" w:sz="4" w:space="0" w:color="000000"/>
              <w:end w:val="single" w:sz="4" w:space="0" w:color="000000"/>
            </w:tcBorders>
          </w:tcPr>
          <w:p>
            <w:pPr>
              <w:pStyle w:val="Normal"/>
              <w:numPr>
                <w:ilvl w:val="0"/>
                <w:numId w:val="2"/>
              </w:numPr>
              <w:rPr>
                <w:rFonts w:ascii="Times New Roman" w:hAnsi="Times New Roman" w:cs="Times New Roman"/>
                <w:b/>
                <w:sz w:val="22"/>
              </w:rPr>
            </w:pPr>
            <w:r>
              <w:rPr>
                <w:rFonts w:cs="Times New Roman" w:ascii="Times New Roman" w:hAnsi="Times New Roman"/>
                <w:b/>
                <w:sz w:val="22"/>
              </w:rPr>
              <w:t xml:space="preserve">Suggestions of Policies to Help the Struggling Nikkei: </w:t>
            </w:r>
            <w:r>
              <w:rPr>
                <w:rFonts w:cs="Times New Roman" w:ascii="Times New Roman" w:hAnsi="Times New Roman"/>
                <w:sz w:val="22"/>
              </w:rPr>
              <w:t>Japanese government officials are eagerly trying to find ways to aid the ailing stock market.  Direct equity purchases by the government have been ruled out as a way to boost prices, which fell 21 percent so far this year, as investors unwind their cross-holding positions.  One suggestion put forth by Japan’s top banking regulator is to increase the money supply to provide liquidity for year-end cash needs.</w:t>
            </w:r>
          </w:p>
        </w:tc>
      </w:tr>
      <w:tr>
        <w:trPr/>
        <w:tc>
          <w:tcPr>
            <w:tcW w:w="10188"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Times New Roman" w:hAnsi="Times New Roman" w:cs="Times New Roman"/>
                <w:sz w:val="22"/>
              </w:rPr>
            </w:pPr>
            <w:r>
              <w:rPr>
                <w:rFonts w:cs="Times New Roman" w:ascii="Times New Roman" w:hAnsi="Times New Roman"/>
                <w:b/>
                <w:sz w:val="22"/>
              </w:rPr>
              <w:t>Life Insurers Suffering From Nikkei Weakness:</w:t>
            </w:r>
            <w:r>
              <w:rPr>
                <w:rFonts w:cs="Times New Roman" w:ascii="Times New Roman" w:hAnsi="Times New Roman"/>
                <w:sz w:val="22"/>
              </w:rPr>
              <w:t xml:space="preserve"> Slumping Japanese equity prices have wiped out Y2.5 trillion worth of unrealized profits from the books of Japan’s largest insurance companies, cutting into solvency margins. But, margins appear to be well above the government’s suggested level of 200 percent.  Unfortunately, recently bankrupt Chiyoda and Kyoei insurers both had margins above 200%.</w:t>
            </w:r>
          </w:p>
          <w:p>
            <w:pPr>
              <w:pStyle w:val="Normal"/>
              <w:rPr>
                <w:rFonts w:ascii="Times New Roman" w:hAnsi="Times New Roman" w:cs="Times New Roman"/>
                <w:sz w:val="22"/>
              </w:rPr>
            </w:pPr>
            <w:r>
              <w:rPr>
                <w:rFonts w:cs="Times New Roman" w:ascii="Times New Roman" w:hAnsi="Times New Roman"/>
                <w:sz w:val="22"/>
              </w:rPr>
            </w:r>
          </w:p>
        </w:tc>
      </w:tr>
      <w:tr>
        <w:trPr/>
        <w:tc>
          <w:tcPr>
            <w:tcW w:w="10188" w:type="dxa"/>
            <w:gridSpan w:val="6"/>
            <w:tcBorders>
              <w:start w:val="single" w:sz="4" w:space="0" w:color="FFFFFF"/>
              <w:bottom w:val="single" w:sz="4" w:space="0" w:color="FFFFFF"/>
              <w:end w:val="single" w:sz="4" w:space="0" w:color="FFFFFF"/>
            </w:tcBorders>
            <w:shd w:fill="FFFFFF" w:val="clear"/>
          </w:tcPr>
          <w:p>
            <w:pPr>
              <w:pStyle w:val="Normal"/>
              <w:rPr>
                <w:b/>
                <w:color w:val="FFFFFF"/>
                <w:sz w:val="28"/>
              </w:rPr>
            </w:pPr>
            <w:r>
              <w:rPr>
                <w:b/>
                <w:color w:val="FFFFFF"/>
                <w:sz w:val="28"/>
              </w:rPr>
              <w:t>G-7+ Central Bank Monitor</w:t>
            </w:r>
          </w:p>
        </w:tc>
      </w:tr>
      <w:tr>
        <w:trPr/>
        <w:tc>
          <w:tcPr>
            <w:tcW w:w="1458"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rPr>
            </w:pPr>
            <w:r>
              <w:rPr>
                <w:color w:val="FFFFFF"/>
              </w:rPr>
              <w:t>Country</w:t>
            </w:r>
          </w:p>
        </w:tc>
        <w:tc>
          <w:tcPr>
            <w:tcW w:w="180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rPr>
            </w:pPr>
            <w:r>
              <w:rPr>
                <w:color w:val="FFFFFF"/>
              </w:rPr>
              <w:t>Official Interest Rate</w:t>
            </w:r>
          </w:p>
        </w:tc>
        <w:tc>
          <w:tcPr>
            <w:tcW w:w="117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rPr>
            </w:pPr>
            <w:r>
              <w:rPr>
                <w:color w:val="FFFFFF"/>
              </w:rPr>
              <w:t>Current (%)</w:t>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jc w:val="center"/>
              <w:rPr>
                <w:color w:val="FFFFFF"/>
              </w:rPr>
            </w:pPr>
            <w:r>
              <w:rPr>
                <w:color w:val="FFFFFF"/>
              </w:rPr>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jc w:val="center"/>
              <w:rPr>
                <w:color w:val="FFFFFF"/>
              </w:rPr>
            </w:pPr>
            <w:r>
              <w:rPr>
                <w:color w:val="FFFFFF"/>
              </w:rPr>
            </w:r>
          </w:p>
        </w:tc>
        <w:tc>
          <w:tcPr>
            <w:tcW w:w="162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rPr>
            </w:pPr>
            <w:r>
              <w:rPr>
                <w:color w:val="FFFFFF"/>
              </w:rPr>
              <w:t>Next MPC Mtg.</w:t>
            </w:r>
          </w:p>
        </w:tc>
      </w:tr>
      <w:tr>
        <w:trPr/>
        <w:tc>
          <w:tcPr>
            <w:tcW w:w="10188" w:type="dxa"/>
            <w:gridSpan w:val="6"/>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i/>
                <w:i/>
                <w:color w:val="FFFFFF"/>
                <w:sz w:val="22"/>
              </w:rPr>
            </w:pPr>
            <w:r>
              <w:rPr>
                <w:i/>
                <w:color w:val="FFFFFF"/>
                <w:sz w:val="22"/>
              </w:rPr>
            </w:r>
          </w:p>
        </w:tc>
      </w:tr>
      <w:tr>
        <w:trPr/>
        <w:tc>
          <w:tcPr>
            <w:tcW w:w="1458" w:type="dxa"/>
            <w:tcBorders>
              <w:top w:val="single" w:sz="4" w:space="0" w:color="FFFFFF"/>
              <w:start w:val="single" w:sz="4" w:space="0" w:color="FFFFFF"/>
              <w:bottom w:val="single" w:sz="4" w:space="0" w:color="FFFFFF"/>
              <w:end w:val="single" w:sz="4" w:space="0" w:color="FFFFFF"/>
            </w:tcBorders>
            <w:shd w:fill="FFFFFF" w:val="clear"/>
          </w:tcPr>
          <w:p>
            <w:pPr>
              <w:pStyle w:val="Normal"/>
              <w:rPr>
                <w:b/>
                <w:color w:val="FFFFFF"/>
                <w:sz w:val="22"/>
              </w:rPr>
            </w:pPr>
            <w:r>
              <w:rPr>
                <w:b/>
                <w:color w:val="FFFFFF"/>
                <w:sz w:val="22"/>
              </w:rPr>
              <w:t>United States</w:t>
            </w:r>
          </w:p>
        </w:tc>
        <w:tc>
          <w:tcPr>
            <w:tcW w:w="1800" w:type="dxa"/>
            <w:tcBorders>
              <w:top w:val="single" w:sz="4" w:space="0" w:color="FFFFFF"/>
              <w:start w:val="single" w:sz="4" w:space="0" w:color="FFFFFF"/>
              <w:bottom w:val="single" w:sz="4" w:space="0" w:color="FFFFFF"/>
              <w:end w:val="single" w:sz="4" w:space="0" w:color="FFFFFF"/>
            </w:tcBorders>
            <w:shd w:fill="FFFFFF" w:val="clear"/>
          </w:tcPr>
          <w:p>
            <w:pPr>
              <w:pStyle w:val="Normal"/>
              <w:rPr>
                <w:color w:val="FFFFFF"/>
                <w:sz w:val="22"/>
              </w:rPr>
            </w:pPr>
            <w:r>
              <w:rPr>
                <w:color w:val="FFFFFF"/>
                <w:sz w:val="22"/>
              </w:rPr>
              <w:t>Federal funds rate</w:t>
            </w:r>
          </w:p>
        </w:tc>
        <w:tc>
          <w:tcPr>
            <w:tcW w:w="117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sz w:val="22"/>
              </w:rPr>
            </w:pPr>
            <w:r>
              <w:rPr>
                <w:color w:val="FFFFFF"/>
                <w:sz w:val="22"/>
              </w:rPr>
              <w:t>6.50</w:t>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162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sz w:val="22"/>
              </w:rPr>
            </w:pPr>
            <w:r>
              <w:rPr>
                <w:color w:val="FFFFFF"/>
                <w:sz w:val="22"/>
              </w:rPr>
              <w:t>19 Dec 2000</w:t>
            </w:r>
          </w:p>
        </w:tc>
      </w:tr>
      <w:tr>
        <w:trPr/>
        <w:tc>
          <w:tcPr>
            <w:tcW w:w="1458" w:type="dxa"/>
            <w:tcBorders>
              <w:top w:val="single" w:sz="4" w:space="0" w:color="FFFFFF"/>
              <w:start w:val="single" w:sz="4" w:space="0" w:color="FFFFFF"/>
              <w:bottom w:val="single" w:sz="4" w:space="0" w:color="FFFFFF"/>
              <w:end w:val="single" w:sz="4" w:space="0" w:color="FFFFFF"/>
            </w:tcBorders>
            <w:shd w:fill="FFFFFF" w:val="clear"/>
          </w:tcPr>
          <w:p>
            <w:pPr>
              <w:pStyle w:val="Normal"/>
              <w:rPr>
                <w:b/>
                <w:color w:val="FFFFFF"/>
                <w:sz w:val="22"/>
              </w:rPr>
            </w:pPr>
            <w:r>
              <w:rPr>
                <w:b/>
                <w:color w:val="FFFFFF"/>
                <w:sz w:val="22"/>
              </w:rPr>
              <w:t>Canada</w:t>
            </w:r>
          </w:p>
        </w:tc>
        <w:tc>
          <w:tcPr>
            <w:tcW w:w="1800" w:type="dxa"/>
            <w:tcBorders>
              <w:top w:val="single" w:sz="4" w:space="0" w:color="FFFFFF"/>
              <w:start w:val="single" w:sz="4" w:space="0" w:color="FFFFFF"/>
              <w:bottom w:val="single" w:sz="4" w:space="0" w:color="FFFFFF"/>
              <w:end w:val="single" w:sz="4" w:space="0" w:color="FFFFFF"/>
            </w:tcBorders>
            <w:shd w:fill="FFFFFF" w:val="clear"/>
          </w:tcPr>
          <w:p>
            <w:pPr>
              <w:pStyle w:val="Normal"/>
              <w:rPr>
                <w:color w:val="FFFFFF"/>
                <w:sz w:val="22"/>
              </w:rPr>
            </w:pPr>
            <w:r>
              <w:rPr>
                <w:color w:val="FFFFFF"/>
                <w:sz w:val="22"/>
              </w:rPr>
              <w:t>Overnight rate</w:t>
            </w:r>
          </w:p>
        </w:tc>
        <w:tc>
          <w:tcPr>
            <w:tcW w:w="117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sz w:val="22"/>
              </w:rPr>
            </w:pPr>
            <w:r>
              <w:rPr>
                <w:color w:val="FFFFFF"/>
                <w:sz w:val="22"/>
              </w:rPr>
              <w:t>5.75</w:t>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162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sz w:val="22"/>
              </w:rPr>
            </w:pPr>
            <w:r>
              <w:rPr>
                <w:color w:val="FFFFFF"/>
                <w:sz w:val="22"/>
              </w:rPr>
              <w:t>7 Dec 2000</w:t>
            </w:r>
          </w:p>
        </w:tc>
      </w:tr>
      <w:tr>
        <w:trPr/>
        <w:tc>
          <w:tcPr>
            <w:tcW w:w="10188" w:type="dxa"/>
            <w:gridSpan w:val="6"/>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i/>
                <w:i/>
                <w:color w:val="FFFFFF"/>
                <w:sz w:val="22"/>
              </w:rPr>
            </w:pPr>
            <w:r>
              <w:rPr>
                <w:i/>
                <w:color w:val="FFFFFF"/>
                <w:sz w:val="22"/>
              </w:rPr>
            </w:r>
          </w:p>
        </w:tc>
      </w:tr>
      <w:tr>
        <w:trPr/>
        <w:tc>
          <w:tcPr>
            <w:tcW w:w="1458" w:type="dxa"/>
            <w:tcBorders>
              <w:top w:val="single" w:sz="4" w:space="0" w:color="FFFFFF"/>
              <w:start w:val="single" w:sz="4" w:space="0" w:color="FFFFFF"/>
              <w:bottom w:val="single" w:sz="4" w:space="0" w:color="FFFFFF"/>
              <w:end w:val="single" w:sz="4" w:space="0" w:color="FFFFFF"/>
            </w:tcBorders>
            <w:shd w:fill="FFFFFF" w:val="clear"/>
          </w:tcPr>
          <w:p>
            <w:pPr>
              <w:pStyle w:val="Normal"/>
              <w:rPr>
                <w:b/>
                <w:color w:val="FFFFFF"/>
                <w:sz w:val="22"/>
              </w:rPr>
            </w:pPr>
            <w:r>
              <w:rPr>
                <w:b/>
                <w:color w:val="FFFFFF"/>
                <w:sz w:val="22"/>
              </w:rPr>
              <w:t>ECB</w:t>
            </w:r>
          </w:p>
        </w:tc>
        <w:tc>
          <w:tcPr>
            <w:tcW w:w="1800" w:type="dxa"/>
            <w:tcBorders>
              <w:top w:val="single" w:sz="4" w:space="0" w:color="FFFFFF"/>
              <w:start w:val="single" w:sz="4" w:space="0" w:color="FFFFFF"/>
              <w:bottom w:val="single" w:sz="4" w:space="0" w:color="FFFFFF"/>
              <w:end w:val="single" w:sz="4" w:space="0" w:color="FFFFFF"/>
            </w:tcBorders>
            <w:shd w:fill="FFFFFF" w:val="clear"/>
          </w:tcPr>
          <w:p>
            <w:pPr>
              <w:pStyle w:val="Normal"/>
              <w:rPr>
                <w:color w:val="FFFFFF"/>
                <w:sz w:val="22"/>
              </w:rPr>
            </w:pPr>
            <w:r>
              <w:rPr>
                <w:color w:val="FFFFFF"/>
                <w:sz w:val="22"/>
              </w:rPr>
              <w:t>ECB rate</w:t>
            </w:r>
          </w:p>
        </w:tc>
        <w:tc>
          <w:tcPr>
            <w:tcW w:w="117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sz w:val="22"/>
                <w:vertAlign w:val="superscript"/>
              </w:rPr>
            </w:pPr>
            <w:r>
              <w:rPr>
                <w:color w:val="FFFFFF"/>
                <w:sz w:val="22"/>
              </w:rPr>
              <w:t xml:space="preserve">4.75 </w:t>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color w:val="FFFFFF"/>
                <w:sz w:val="22"/>
                <w:vertAlign w:val="superscript"/>
              </w:rPr>
            </w:pPr>
            <w:r>
              <w:rPr>
                <w:color w:val="FFFFFF"/>
                <w:sz w:val="22"/>
                <w:vertAlign w:val="superscript"/>
              </w:rPr>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162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sz w:val="22"/>
              </w:rPr>
            </w:pPr>
            <w:r>
              <w:rPr>
                <w:color w:val="FFFFFF"/>
                <w:sz w:val="22"/>
              </w:rPr>
              <w:t>14 Dec 2000</w:t>
            </w:r>
          </w:p>
        </w:tc>
      </w:tr>
      <w:tr>
        <w:trPr/>
        <w:tc>
          <w:tcPr>
            <w:tcW w:w="1458" w:type="dxa"/>
            <w:tcBorders>
              <w:top w:val="single" w:sz="4" w:space="0" w:color="FFFFFF"/>
              <w:start w:val="single" w:sz="4" w:space="0" w:color="FFFFFF"/>
              <w:bottom w:val="single" w:sz="4" w:space="0" w:color="FFFFFF"/>
              <w:end w:val="single" w:sz="4" w:space="0" w:color="FFFFFF"/>
            </w:tcBorders>
            <w:shd w:fill="FFFFFF" w:val="clear"/>
          </w:tcPr>
          <w:p>
            <w:pPr>
              <w:pStyle w:val="Normal"/>
              <w:rPr>
                <w:b/>
                <w:color w:val="FFFFFF"/>
                <w:sz w:val="22"/>
              </w:rPr>
            </w:pPr>
            <w:r>
              <w:rPr>
                <w:b/>
                <w:color w:val="FFFFFF"/>
                <w:sz w:val="22"/>
              </w:rPr>
              <w:t>U.K.</w:t>
            </w:r>
          </w:p>
        </w:tc>
        <w:tc>
          <w:tcPr>
            <w:tcW w:w="1800" w:type="dxa"/>
            <w:tcBorders>
              <w:top w:val="single" w:sz="4" w:space="0" w:color="FFFFFF"/>
              <w:start w:val="single" w:sz="4" w:space="0" w:color="FFFFFF"/>
              <w:bottom w:val="single" w:sz="4" w:space="0" w:color="FFFFFF"/>
              <w:end w:val="single" w:sz="4" w:space="0" w:color="FFFFFF"/>
            </w:tcBorders>
            <w:shd w:fill="FFFFFF" w:val="clear"/>
          </w:tcPr>
          <w:p>
            <w:pPr>
              <w:pStyle w:val="Normal"/>
              <w:rPr>
                <w:color w:val="FFFFFF"/>
                <w:sz w:val="22"/>
              </w:rPr>
            </w:pPr>
            <w:r>
              <w:rPr>
                <w:color w:val="FFFFFF"/>
                <w:sz w:val="22"/>
              </w:rPr>
              <w:t>Base rate</w:t>
            </w:r>
          </w:p>
        </w:tc>
        <w:tc>
          <w:tcPr>
            <w:tcW w:w="117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sz w:val="22"/>
              </w:rPr>
            </w:pPr>
            <w:r>
              <w:rPr>
                <w:color w:val="FFFFFF"/>
                <w:sz w:val="22"/>
              </w:rPr>
              <w:t>6.00</w:t>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162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sz w:val="22"/>
              </w:rPr>
            </w:pPr>
            <w:r>
              <w:rPr>
                <w:color w:val="FFFFFF"/>
                <w:sz w:val="22"/>
              </w:rPr>
              <w:t>6/7 Dec 2000</w:t>
            </w:r>
          </w:p>
        </w:tc>
      </w:tr>
      <w:tr>
        <w:trPr/>
        <w:tc>
          <w:tcPr>
            <w:tcW w:w="10188" w:type="dxa"/>
            <w:gridSpan w:val="6"/>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i/>
                <w:i/>
                <w:color w:val="FFFFFF"/>
                <w:sz w:val="22"/>
              </w:rPr>
            </w:pPr>
            <w:r>
              <w:rPr>
                <w:i/>
                <w:color w:val="FFFFFF"/>
                <w:sz w:val="22"/>
              </w:rPr>
            </w:r>
          </w:p>
        </w:tc>
      </w:tr>
      <w:tr>
        <w:trPr/>
        <w:tc>
          <w:tcPr>
            <w:tcW w:w="1458" w:type="dxa"/>
            <w:tcBorders>
              <w:top w:val="single" w:sz="4" w:space="0" w:color="FFFFFF"/>
              <w:start w:val="single" w:sz="4" w:space="0" w:color="FFFFFF"/>
              <w:bottom w:val="single" w:sz="4" w:space="0" w:color="FFFFFF"/>
              <w:end w:val="single" w:sz="4" w:space="0" w:color="FFFFFF"/>
            </w:tcBorders>
            <w:shd w:fill="FFFFFF" w:val="clear"/>
          </w:tcPr>
          <w:p>
            <w:pPr>
              <w:pStyle w:val="Normal"/>
              <w:rPr>
                <w:b/>
                <w:color w:val="FFFFFF"/>
                <w:sz w:val="22"/>
              </w:rPr>
            </w:pPr>
            <w:r>
              <w:rPr>
                <w:b/>
                <w:color w:val="FFFFFF"/>
                <w:sz w:val="22"/>
              </w:rPr>
              <w:t>Australia</w:t>
            </w:r>
          </w:p>
        </w:tc>
        <w:tc>
          <w:tcPr>
            <w:tcW w:w="1800" w:type="dxa"/>
            <w:tcBorders>
              <w:top w:val="single" w:sz="4" w:space="0" w:color="FFFFFF"/>
              <w:start w:val="single" w:sz="4" w:space="0" w:color="FFFFFF"/>
              <w:bottom w:val="single" w:sz="4" w:space="0" w:color="FFFFFF"/>
              <w:end w:val="single" w:sz="4" w:space="0" w:color="FFFFFF"/>
            </w:tcBorders>
            <w:shd w:fill="FFFFFF" w:val="clear"/>
          </w:tcPr>
          <w:p>
            <w:pPr>
              <w:pStyle w:val="Normal"/>
              <w:rPr>
                <w:color w:val="FFFFFF"/>
                <w:sz w:val="22"/>
              </w:rPr>
            </w:pPr>
            <w:r>
              <w:rPr>
                <w:color w:val="FFFFFF"/>
                <w:sz w:val="22"/>
              </w:rPr>
              <w:t>RBA Cash rate</w:t>
            </w:r>
          </w:p>
        </w:tc>
        <w:tc>
          <w:tcPr>
            <w:tcW w:w="117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sz w:val="22"/>
              </w:rPr>
            </w:pPr>
            <w:r>
              <w:rPr>
                <w:color w:val="FFFFFF"/>
                <w:sz w:val="22"/>
              </w:rPr>
              <w:t>6.25</w:t>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162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sz w:val="22"/>
              </w:rPr>
            </w:pPr>
            <w:r>
              <w:rPr>
                <w:color w:val="FFFFFF"/>
                <w:sz w:val="22"/>
              </w:rPr>
              <w:t>6 Feb 2001</w:t>
            </w:r>
          </w:p>
        </w:tc>
      </w:tr>
      <w:tr>
        <w:trPr/>
        <w:tc>
          <w:tcPr>
            <w:tcW w:w="1458" w:type="dxa"/>
            <w:tcBorders>
              <w:top w:val="single" w:sz="4" w:space="0" w:color="FFFFFF"/>
              <w:start w:val="single" w:sz="4" w:space="0" w:color="FFFFFF"/>
              <w:bottom w:val="single" w:sz="4" w:space="0" w:color="FFFFFF"/>
              <w:end w:val="single" w:sz="4" w:space="0" w:color="FFFFFF"/>
            </w:tcBorders>
            <w:shd w:fill="FFFFFF" w:val="clear"/>
          </w:tcPr>
          <w:p>
            <w:pPr>
              <w:pStyle w:val="Normal"/>
              <w:rPr>
                <w:b/>
                <w:color w:val="FFFFFF"/>
                <w:sz w:val="22"/>
              </w:rPr>
            </w:pPr>
            <w:r>
              <w:rPr>
                <w:b/>
                <w:color w:val="FFFFFF"/>
                <w:sz w:val="22"/>
              </w:rPr>
              <w:t>New Zealand</w:t>
            </w:r>
          </w:p>
        </w:tc>
        <w:tc>
          <w:tcPr>
            <w:tcW w:w="1800" w:type="dxa"/>
            <w:tcBorders>
              <w:top w:val="single" w:sz="4" w:space="0" w:color="FFFFFF"/>
              <w:start w:val="single" w:sz="4" w:space="0" w:color="FFFFFF"/>
              <w:bottom w:val="single" w:sz="4" w:space="0" w:color="FFFFFF"/>
              <w:end w:val="single" w:sz="4" w:space="0" w:color="FFFFFF"/>
            </w:tcBorders>
            <w:shd w:fill="FFFFFF" w:val="clear"/>
          </w:tcPr>
          <w:p>
            <w:pPr>
              <w:pStyle w:val="Normal"/>
              <w:rPr>
                <w:color w:val="FFFFFF"/>
                <w:sz w:val="22"/>
              </w:rPr>
            </w:pPr>
            <w:r>
              <w:rPr>
                <w:color w:val="FFFFFF"/>
                <w:sz w:val="22"/>
              </w:rPr>
              <w:t>Cash rate</w:t>
            </w:r>
          </w:p>
        </w:tc>
        <w:tc>
          <w:tcPr>
            <w:tcW w:w="117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sz w:val="22"/>
              </w:rPr>
            </w:pPr>
            <w:r>
              <w:rPr>
                <w:color w:val="FFFFFF"/>
                <w:sz w:val="22"/>
              </w:rPr>
              <w:t>6.50</w:t>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2070" w:type="dxa"/>
            <w:tcBorders>
              <w:top w:val="single" w:sz="4" w:space="0" w:color="FFFFFF"/>
              <w:start w:val="single" w:sz="4" w:space="0" w:color="FFFFFF"/>
              <w:bottom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1620" w:type="dxa"/>
            <w:tcBorders>
              <w:top w:val="single" w:sz="4" w:space="0" w:color="FFFFFF"/>
              <w:start w:val="single" w:sz="4" w:space="0" w:color="FFFFFF"/>
              <w:bottom w:val="single" w:sz="4" w:space="0" w:color="FFFFFF"/>
              <w:end w:val="single" w:sz="4" w:space="0" w:color="FFFFFF"/>
            </w:tcBorders>
            <w:shd w:fill="FFFFFF" w:val="clear"/>
          </w:tcPr>
          <w:p>
            <w:pPr>
              <w:pStyle w:val="Normal"/>
              <w:jc w:val="center"/>
              <w:rPr>
                <w:color w:val="FFFFFF"/>
                <w:sz w:val="22"/>
              </w:rPr>
            </w:pPr>
            <w:r>
              <w:rPr>
                <w:color w:val="FFFFFF"/>
                <w:sz w:val="22"/>
              </w:rPr>
              <w:t>5 Dec 2000</w:t>
            </w:r>
          </w:p>
        </w:tc>
      </w:tr>
      <w:tr>
        <w:trPr/>
        <w:tc>
          <w:tcPr>
            <w:tcW w:w="1458" w:type="dxa"/>
            <w:tcBorders>
              <w:top w:val="single" w:sz="4" w:space="0" w:color="FFFFFF"/>
              <w:start w:val="single" w:sz="4" w:space="0" w:color="FFFFFF"/>
              <w:end w:val="single" w:sz="4" w:space="0" w:color="FFFFFF"/>
            </w:tcBorders>
            <w:shd w:fill="FFFFFF" w:val="clear"/>
          </w:tcPr>
          <w:p>
            <w:pPr>
              <w:pStyle w:val="Normal"/>
              <w:rPr>
                <w:b/>
                <w:color w:val="FFFFFF"/>
                <w:sz w:val="22"/>
              </w:rPr>
            </w:pPr>
            <w:r>
              <w:rPr>
                <w:b/>
                <w:color w:val="FFFFFF"/>
                <w:sz w:val="22"/>
              </w:rPr>
              <w:t>Japan</w:t>
            </w:r>
          </w:p>
        </w:tc>
        <w:tc>
          <w:tcPr>
            <w:tcW w:w="1800" w:type="dxa"/>
            <w:tcBorders>
              <w:top w:val="single" w:sz="4" w:space="0" w:color="FFFFFF"/>
              <w:start w:val="single" w:sz="4" w:space="0" w:color="FFFFFF"/>
              <w:end w:val="single" w:sz="4" w:space="0" w:color="FFFFFF"/>
            </w:tcBorders>
            <w:shd w:fill="FFFFFF" w:val="clear"/>
          </w:tcPr>
          <w:p>
            <w:pPr>
              <w:pStyle w:val="Normal"/>
              <w:rPr>
                <w:color w:val="FFFFFF"/>
                <w:sz w:val="22"/>
              </w:rPr>
            </w:pPr>
            <w:r>
              <w:rPr>
                <w:color w:val="FFFFFF"/>
                <w:sz w:val="22"/>
              </w:rPr>
              <w:t>Overnight call rate</w:t>
            </w:r>
          </w:p>
        </w:tc>
        <w:tc>
          <w:tcPr>
            <w:tcW w:w="1170" w:type="dxa"/>
            <w:tcBorders>
              <w:top w:val="single" w:sz="4" w:space="0" w:color="FFFFFF"/>
              <w:start w:val="single" w:sz="4" w:space="0" w:color="FFFFFF"/>
              <w:end w:val="single" w:sz="4" w:space="0" w:color="FFFFFF"/>
            </w:tcBorders>
            <w:shd w:fill="FFFFFF" w:val="clear"/>
          </w:tcPr>
          <w:p>
            <w:pPr>
              <w:pStyle w:val="Normal"/>
              <w:jc w:val="center"/>
              <w:rPr>
                <w:color w:val="FFFFFF"/>
                <w:sz w:val="22"/>
              </w:rPr>
            </w:pPr>
            <w:r>
              <w:rPr>
                <w:color w:val="FFFFFF"/>
                <w:sz w:val="22"/>
              </w:rPr>
              <w:t>0.25</w:t>
            </w:r>
          </w:p>
        </w:tc>
        <w:tc>
          <w:tcPr>
            <w:tcW w:w="2070" w:type="dxa"/>
            <w:tcBorders>
              <w:top w:val="single" w:sz="4" w:space="0" w:color="FFFFFF"/>
              <w:start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2070" w:type="dxa"/>
            <w:tcBorders>
              <w:top w:val="single" w:sz="4" w:space="0" w:color="FFFFFF"/>
              <w:start w:val="single" w:sz="4" w:space="0" w:color="FFFFFF"/>
              <w:end w:val="single" w:sz="4" w:space="0" w:color="FFFFFF"/>
            </w:tcBorders>
            <w:shd w:fill="FFFFFF" w:val="clear"/>
          </w:tcPr>
          <w:p>
            <w:pPr>
              <w:pStyle w:val="Normal"/>
              <w:snapToGrid w:val="false"/>
              <w:rPr>
                <w:color w:val="FFFFFF"/>
                <w:sz w:val="22"/>
              </w:rPr>
            </w:pPr>
            <w:r>
              <w:rPr>
                <w:color w:val="FFFFFF"/>
                <w:sz w:val="22"/>
              </w:rPr>
            </w:r>
          </w:p>
        </w:tc>
        <w:tc>
          <w:tcPr>
            <w:tcW w:w="1620" w:type="dxa"/>
            <w:tcBorders>
              <w:top w:val="single" w:sz="4" w:space="0" w:color="FFFFFF"/>
              <w:start w:val="single" w:sz="4" w:space="0" w:color="FFFFFF"/>
              <w:end w:val="single" w:sz="4" w:space="0" w:color="FFFFFF"/>
            </w:tcBorders>
            <w:shd w:fill="FFFFFF" w:val="clear"/>
          </w:tcPr>
          <w:p>
            <w:pPr>
              <w:pStyle w:val="Normal"/>
              <w:jc w:val="center"/>
              <w:rPr>
                <w:color w:val="FFFFFF"/>
                <w:sz w:val="22"/>
              </w:rPr>
            </w:pPr>
            <w:r>
              <w:rPr>
                <w:color w:val="FFFFFF"/>
                <w:sz w:val="22"/>
              </w:rPr>
              <w:t>15 Dec 2000</w:t>
            </w:r>
          </w:p>
        </w:tc>
      </w:tr>
      <w:tr>
        <w:trPr/>
        <w:tc>
          <w:tcPr>
            <w:tcW w:w="10188" w:type="dxa"/>
            <w:gridSpan w:val="6"/>
            <w:tcBorders>
              <w:start w:val="single" w:sz="4" w:space="0" w:color="000000"/>
              <w:bottom w:val="single" w:sz="4" w:space="0" w:color="000000"/>
              <w:end w:val="single" w:sz="4" w:space="0" w:color="000000"/>
            </w:tcBorders>
            <w:shd w:fill="0000FF" w:val="clear"/>
          </w:tcPr>
          <w:p>
            <w:pPr>
              <w:pStyle w:val="Normal"/>
              <w:rPr>
                <w:b/>
                <w:color w:val="FFFFFF"/>
                <w:sz w:val="28"/>
              </w:rPr>
            </w:pPr>
            <w:r>
              <w:rPr>
                <w:b/>
                <w:color w:val="FFFFFF"/>
                <w:sz w:val="28"/>
                <w:shd w:fill="0000FF" w:val="clear"/>
              </w:rPr>
              <w:t>G-7+ Central Bank Monitor</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pPr>
            <w:r>
              <w:rPr/>
              <w:t>Country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Official Interest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Current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Change from prev. bias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Last Change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FF0000"/>
              </w:rPr>
            </w:pPr>
            <w:r>
              <w:rPr/>
              <w:t>Next MPC Mtg.</w:t>
            </w:r>
          </w:p>
        </w:tc>
      </w:tr>
      <w:tr>
        <w:trPr/>
        <w:tc>
          <w:tcPr>
            <w:tcW w:w="10188" w:type="dxa"/>
            <w:gridSpan w:val="6"/>
            <w:tcBorders>
              <w:top w:val="single" w:sz="4" w:space="0" w:color="000000"/>
              <w:start w:val="single" w:sz="4" w:space="0" w:color="000000"/>
              <w:bottom w:val="single" w:sz="4" w:space="0" w:color="000000"/>
              <w:end w:val="single" w:sz="4" w:space="0" w:color="000000"/>
            </w:tcBorders>
          </w:tcPr>
          <w:p>
            <w:pPr>
              <w:pStyle w:val="Normal"/>
              <w:rPr>
                <w:i/>
                <w:i/>
                <w:sz w:val="22"/>
              </w:rPr>
            </w:pPr>
            <w:r>
              <w:rPr>
                <w:i/>
                <w:sz w:val="22"/>
              </w:rPr>
              <w:t>The Americas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United States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Federal funds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6.50</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30 Jun 99 (+175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16 May 00 (+50bps)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19 Dec 2000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Canada</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Overnight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5.75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3 May 99 (+125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May 00 (+50bps)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color w:val="FF0000"/>
                <w:sz w:val="22"/>
              </w:rPr>
              <w:t>7 Dec 2000</w:t>
            </w:r>
          </w:p>
        </w:tc>
      </w:tr>
      <w:tr>
        <w:trPr/>
        <w:tc>
          <w:tcPr>
            <w:tcW w:w="10188" w:type="dxa"/>
            <w:gridSpan w:val="6"/>
            <w:tcBorders>
              <w:top w:val="single" w:sz="4" w:space="0" w:color="000000"/>
              <w:start w:val="single" w:sz="4" w:space="0" w:color="000000"/>
              <w:bottom w:val="single" w:sz="4" w:space="0" w:color="000000"/>
              <w:end w:val="single" w:sz="4" w:space="0" w:color="000000"/>
            </w:tcBorders>
          </w:tcPr>
          <w:p>
            <w:pPr>
              <w:pStyle w:val="Normal"/>
              <w:rPr>
                <w:i/>
                <w:i/>
                <w:sz w:val="22"/>
              </w:rPr>
            </w:pPr>
            <w:r>
              <w:rPr>
                <w:i/>
                <w:sz w:val="22"/>
              </w:rPr>
              <w:t xml:space="preserve">Europe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ECB</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ECB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vertAlign w:val="superscript"/>
              </w:rPr>
            </w:pPr>
            <w:r>
              <w:rPr>
                <w:sz w:val="22"/>
              </w:rPr>
              <w:t xml:space="preserve">4.75 </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 Nov 99 (+225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rFonts w:eastAsia="Garamond"/>
                <w:color w:val="FF0000"/>
                <w:sz w:val="22"/>
              </w:rPr>
              <w:t xml:space="preserve"> </w:t>
            </w:r>
            <w:r>
              <w:rPr>
                <w:sz w:val="22"/>
              </w:rPr>
              <w:t>5 Oct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14 Dec 2000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U.K.</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Base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6.00</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 May 99 (+100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 Feb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color w:val="FF0000"/>
                <w:sz w:val="22"/>
              </w:rPr>
              <w:t>6/7 Dec 2000</w:t>
            </w:r>
          </w:p>
        </w:tc>
      </w:tr>
      <w:tr>
        <w:trPr/>
        <w:tc>
          <w:tcPr>
            <w:tcW w:w="10188" w:type="dxa"/>
            <w:gridSpan w:val="6"/>
            <w:tcBorders>
              <w:top w:val="single" w:sz="4" w:space="0" w:color="000000"/>
              <w:start w:val="single" w:sz="4" w:space="0" w:color="000000"/>
              <w:bottom w:val="single" w:sz="4" w:space="0" w:color="000000"/>
              <w:end w:val="single" w:sz="4" w:space="0" w:color="000000"/>
            </w:tcBorders>
          </w:tcPr>
          <w:p>
            <w:pPr>
              <w:pStyle w:val="Normal"/>
              <w:rPr>
                <w:i/>
                <w:i/>
                <w:sz w:val="22"/>
              </w:rPr>
            </w:pPr>
            <w:r>
              <w:rPr>
                <w:i/>
                <w:sz w:val="22"/>
              </w:rPr>
              <w:t>Asia/Pacific</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Australia</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RBA Cash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6.25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2 Nov 99 (+150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2 Aug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 Feb 2001</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New Zealand</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Cash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6.50</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16 Nov 99 (+200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May 00 (+50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color w:val="FF0000"/>
                <w:sz w:val="22"/>
              </w:rPr>
              <w:t>5 Dec 2000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Japan</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Overnight call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0.25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Aug 00 (+24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Aug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15 Dec 2000</w:t>
            </w:r>
          </w:p>
        </w:tc>
      </w:tr>
    </w:tbl>
    <w:p>
      <w:pPr>
        <w:pStyle w:val="Normal"/>
        <w:spacing w:lineRule="auto" w:line="480"/>
        <w:rPr>
          <w:rFonts w:ascii="Times New Roman" w:hAnsi="Times New Roman" w:cs="Times New Roman"/>
          <w:sz w:val="22"/>
        </w:rPr>
      </w:pPr>
      <w:r>
        <w:rPr>
          <w:rFonts w:cs="Times New Roman"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shd w:fill="0000FF" w:val="clear"/>
          </w:tcPr>
          <w:p>
            <w:pPr>
              <w:pStyle w:val="Normal"/>
              <w:rPr>
                <w:rFonts w:ascii="Times New Roman" w:hAnsi="Times New Roman" w:cs="Times New Roman"/>
                <w:b/>
                <w:color w:val="FFFFFF"/>
                <w:sz w:val="28"/>
              </w:rPr>
            </w:pPr>
            <w:r>
              <w:rPr>
                <w:rFonts w:cs="Times New Roman" w:ascii="Times New Roman" w:hAnsi="Times New Roman"/>
                <w:b/>
                <w:color w:val="FFFFFF"/>
                <w:sz w:val="28"/>
              </w:rPr>
              <w:t>Country Credit Rating Activity</w:t>
            </w:r>
          </w:p>
        </w:tc>
      </w:tr>
      <w:tr>
        <w:trPr/>
        <w:tc>
          <w:tcPr>
            <w:tcW w:w="10188" w:type="dxa"/>
            <w:tcBorders>
              <w:start w:val="single" w:sz="4" w:space="0" w:color="000000"/>
              <w:bottom w:val="single" w:sz="4" w:space="0" w:color="000000"/>
              <w:end w:val="single" w:sz="4" w:space="0" w:color="000000"/>
            </w:tcBorders>
          </w:tcPr>
          <w:p>
            <w:pPr>
              <w:pStyle w:val="Normal"/>
              <w:numPr>
                <w:ilvl w:val="0"/>
                <w:numId w:val="6"/>
              </w:numPr>
              <w:rPr>
                <w:rFonts w:ascii="Times New Roman" w:hAnsi="Times New Roman" w:cs="Times New Roman"/>
                <w:b/>
                <w:sz w:val="22"/>
              </w:rPr>
            </w:pPr>
            <w:r>
              <w:rPr>
                <w:rFonts w:cs="Times New Roman" w:ascii="Times New Roman" w:hAnsi="Times New Roman"/>
                <w:b/>
                <w:sz w:val="22"/>
              </w:rPr>
              <w:t xml:space="preserve">Moody’s Alters Argentina’s Rating Outlook to Negative: </w:t>
            </w:r>
            <w:r>
              <w:rPr>
                <w:rFonts w:cs="Times New Roman" w:ascii="Times New Roman" w:hAnsi="Times New Roman"/>
                <w:sz w:val="22"/>
              </w:rPr>
              <w:t>Moody’s changed its outlook to negative for Argentina’s foreign currency country ceilings on November 21.  The change in the outlook to negative was caused by Argentina’s high fiscal debt, prospects of slow economic growth, political uncertainty and weak foreign investor confidence.  Improvements in Argentina’s economic position will highly depend on improved growth prospects and lower levels of domestic interest rates.</w:t>
            </w:r>
          </w:p>
        </w:tc>
      </w:tr>
      <w:tr>
        <w:trPr/>
        <w:tc>
          <w:tcPr>
            <w:tcW w:w="10188" w:type="dxa"/>
            <w:tcBorders>
              <w:start w:val="single" w:sz="4" w:space="0" w:color="000000"/>
              <w:bottom w:val="single" w:sz="4" w:space="0" w:color="000000"/>
              <w:end w:val="single" w:sz="4" w:space="0" w:color="000000"/>
            </w:tcBorders>
          </w:tcPr>
          <w:p>
            <w:pPr>
              <w:pStyle w:val="Normal"/>
              <w:numPr>
                <w:ilvl w:val="0"/>
                <w:numId w:val="6"/>
              </w:numPr>
              <w:rPr>
                <w:rFonts w:ascii="Times New Roman" w:hAnsi="Times New Roman" w:cs="Times New Roman"/>
                <w:b/>
                <w:sz w:val="22"/>
              </w:rPr>
            </w:pPr>
            <w:r>
              <w:rPr>
                <w:rFonts w:cs="Times New Roman" w:ascii="Times New Roman" w:hAnsi="Times New Roman"/>
                <w:b/>
                <w:sz w:val="22"/>
              </w:rPr>
              <w:t xml:space="preserve">S&amp;P Ratings on Mexican Currency Affirmed: </w:t>
            </w:r>
            <w:r>
              <w:rPr>
                <w:rFonts w:cs="Times New Roman" w:ascii="Times New Roman" w:hAnsi="Times New Roman"/>
                <w:sz w:val="22"/>
              </w:rPr>
              <w:t>On November 21 Standard and Poor’s confirmed its ratings for Mexico’s sovereign debt.  The rating of BB+/B for foreign currency and BBB+/A2 for local currency was maintained by S&amp;P and the outlook was declared positive.  These ratings reflect S&amp;P views that Fox’s administration will implement the necessary changes for a sustainable macroeconomic policy mix.  This will include a reasonable budget for 2001, improved tax collection, higher liquidity in the banking system and deregulation in the electricity and petrochemical sectors.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Times New Roman" w:hAnsi="Times New Roman" w:cs="Times New Roman"/>
                <w:b/>
                <w:sz w:val="22"/>
              </w:rPr>
            </w:pPr>
            <w:r>
              <w:rPr>
                <w:rFonts w:cs="Times New Roman" w:ascii="Times New Roman" w:hAnsi="Times New Roman"/>
                <w:b/>
                <w:sz w:val="22"/>
              </w:rPr>
              <w:t xml:space="preserve">Outside of the G-7: </w:t>
            </w:r>
            <w:r>
              <w:rPr>
                <w:rFonts w:cs="Times New Roman" w:ascii="Times New Roman" w:hAnsi="Times New Roman"/>
                <w:sz w:val="22"/>
              </w:rPr>
              <w:t>S&amp;P declared its outlook on Cyprus’s currency as positive on November 28</w:t>
            </w:r>
            <w:r>
              <w:rPr>
                <w:rFonts w:cs="Times New Roman" w:ascii="Times New Roman" w:hAnsi="Times New Roman"/>
                <w:sz w:val="22"/>
                <w:vertAlign w:val="superscript"/>
              </w:rPr>
              <w:t>th</w:t>
            </w:r>
            <w:r>
              <w:rPr>
                <w:rFonts w:cs="Times New Roman" w:ascii="Times New Roman" w:hAnsi="Times New Roman"/>
                <w:sz w:val="22"/>
              </w:rPr>
              <w:t>.</w:t>
            </w:r>
          </w:p>
          <w:p>
            <w:pPr>
              <w:pStyle w:val="Normal"/>
              <w:rPr/>
            </w:pPr>
            <w:r>
              <w:rPr>
                <w:rFonts w:cs="Times New Roman" w:ascii="Times New Roman" w:hAnsi="Times New Roman"/>
                <w:sz w:val="22"/>
              </w:rPr>
              <w:t xml:space="preserve">       </w:t>
            </w:r>
            <w:r>
              <w:rPr>
                <w:rFonts w:cs="Times New Roman" w:ascii="Times New Roman" w:hAnsi="Times New Roman"/>
                <w:sz w:val="22"/>
              </w:rPr>
              <w:t>Moody’s stated its outlook on the Macau currency as stable on December 1</w:t>
            </w:r>
            <w:r>
              <w:rPr>
                <w:rFonts w:cs="Times New Roman" w:ascii="Times New Roman" w:hAnsi="Times New Roman"/>
                <w:sz w:val="22"/>
                <w:vertAlign w:val="superscript"/>
              </w:rPr>
              <w:t>st</w:t>
            </w:r>
            <w:r>
              <w:rPr>
                <w:rFonts w:cs="Times New Roman" w:ascii="Times New Roman" w:hAnsi="Times New Roman"/>
                <w:sz w:val="22"/>
              </w:rPr>
              <w:t>.</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Times New Roman" w:hAnsi="Times New Roman" w:cs="Times New Roman"/>
                <w:b/>
                <w:sz w:val="22"/>
              </w:rPr>
            </w:pPr>
            <w:r>
              <w:rPr>
                <w:rFonts w:cs="Times New Roman" w:ascii="Times New Roman" w:hAnsi="Times New Roman"/>
                <w:b/>
                <w:sz w:val="22"/>
              </w:rPr>
              <w:t xml:space="preserve">Fitch Activity: </w:t>
            </w:r>
            <w:r>
              <w:rPr>
                <w:rFonts w:cs="Times New Roman" w:ascii="Times New Roman" w:hAnsi="Times New Roman"/>
                <w:sz w:val="22"/>
              </w:rPr>
              <w:t xml:space="preserve">Outlook for Thailand and Romania was proclaimed to be stable. Fitch Credit Rating Agency upgraded Hungarian foreign currency long term debt to A- from BBB+, local currency long term debt to A+ from A and declared outlook as stable. </w:t>
            </w:r>
          </w:p>
        </w:tc>
      </w:tr>
    </w:tbl>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shd w:fill="0000FF" w:val="clear"/>
          </w:tcPr>
          <w:p>
            <w:pPr>
              <w:pStyle w:val="Normal"/>
              <w:rPr>
                <w:rFonts w:ascii="Times New Roman" w:hAnsi="Times New Roman" w:cs="Times New Roman"/>
                <w:b/>
                <w:color w:val="FFFFFF"/>
                <w:sz w:val="28"/>
              </w:rPr>
            </w:pPr>
            <w:r>
              <w:rPr>
                <w:rFonts w:cs="Times New Roman" w:ascii="Times New Roman" w:hAnsi="Times New Roman"/>
                <w:b/>
                <w:color w:val="FFFFFF"/>
                <w:sz w:val="28"/>
              </w:rPr>
              <w:t>Commodities News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Times New Roman" w:hAnsi="Times New Roman" w:cs="Times New Roman"/>
                <w:b/>
                <w:sz w:val="22"/>
              </w:rPr>
            </w:pPr>
            <w:r>
              <w:rPr>
                <w:rFonts w:cs="Times New Roman" w:ascii="Times New Roman" w:hAnsi="Times New Roman"/>
                <w:b/>
                <w:sz w:val="22"/>
              </w:rPr>
              <w:t xml:space="preserve">IEA “World Energy Outlook 2000”: </w:t>
            </w:r>
            <w:r>
              <w:rPr>
                <w:rFonts w:cs="Times New Roman" w:ascii="Times New Roman" w:hAnsi="Times New Roman"/>
                <w:sz w:val="22"/>
              </w:rPr>
              <w:t xml:space="preserve">In its </w:t>
            </w:r>
            <w:r>
              <w:rPr>
                <w:rFonts w:cs="Times New Roman" w:ascii="Times New Roman" w:hAnsi="Times New Roman"/>
                <w:i/>
                <w:sz w:val="22"/>
                <w:u w:val="single"/>
              </w:rPr>
              <w:t>World Energy Outlook 2000</w:t>
            </w:r>
            <w:r>
              <w:rPr>
                <w:rFonts w:cs="Times New Roman" w:ascii="Times New Roman" w:hAnsi="Times New Roman"/>
                <w:sz w:val="22"/>
              </w:rPr>
              <w:t xml:space="preserve">, the International Energy Agency (IEA) forecasts that world energy use will grow by 2 percent annually from now until 2020.  Oil, coal and natural gas are expected to provide for 90 percent of the world’s primary energy needs, while petroleum will remain the dominant fuel providing for 40 percent of world’s energy needs (roughly its present share of the world energy mix).  Oil output will increase 76 million barrels a day now to 115 million barrels a day in 2020.  Middle East OPEC countries are expected to produce 32 percent of the world’s oil in 2010 and 41 percent in 2020.  Energy use in poor countries is projected to increase much faster than use in the developed countries; although both poor and developed countries will remain heavily dependent on diminishing number of oil and gas supplies. </w:t>
            </w:r>
          </w:p>
        </w:tc>
      </w:tr>
      <w:tr>
        <w:trPr/>
        <w:tc>
          <w:tcPr>
            <w:tcW w:w="10188" w:type="dxa"/>
            <w:tcBorders>
              <w:start w:val="single" w:sz="4" w:space="0" w:color="000000"/>
              <w:bottom w:val="single" w:sz="4" w:space="0" w:color="000000"/>
              <w:end w:val="single" w:sz="4" w:space="0" w:color="000000"/>
            </w:tcBorders>
          </w:tcPr>
          <w:p>
            <w:pPr>
              <w:pStyle w:val="Normal"/>
              <w:numPr>
                <w:ilvl w:val="0"/>
                <w:numId w:val="6"/>
              </w:numPr>
              <w:rPr>
                <w:rFonts w:ascii="Times New Roman" w:hAnsi="Times New Roman" w:cs="Times New Roman"/>
                <w:b/>
                <w:sz w:val="22"/>
              </w:rPr>
            </w:pPr>
            <w:r>
              <w:rPr>
                <w:rFonts w:cs="Times New Roman" w:ascii="Times New Roman" w:hAnsi="Times New Roman"/>
                <w:b/>
                <w:sz w:val="22"/>
              </w:rPr>
              <w:t xml:space="preserve">Oil Prices Drop as US Inventories Increase: </w:t>
            </w:r>
            <w:r>
              <w:rPr>
                <w:rFonts w:cs="Times New Roman" w:ascii="Times New Roman" w:hAnsi="Times New Roman"/>
                <w:sz w:val="22"/>
              </w:rPr>
              <w:t xml:space="preserve">Oil Prices dropped to $30 a barrel today from above $32 for the last three weeks as a larger than expected increase US inventories left supplies only 2.7 percent lower than a year ago, easing concern about a halt in exports from Iraq. </w:t>
            </w:r>
          </w:p>
        </w:tc>
      </w:tr>
    </w:tbl>
    <w:p>
      <w:pPr>
        <w:pStyle w:val="Normal"/>
        <w:rPr>
          <w:sz w:val="22"/>
        </w:rPr>
      </w:pPr>
      <w:r>
        <w:rPr>
          <w:sz w:val="22"/>
        </w:rPr>
      </w:r>
      <w:r>
        <w:br w:type="page"/>
      </w:r>
    </w:p>
    <w:p>
      <w:pPr>
        <w:pStyle w:val="Normal"/>
        <w:rPr>
          <w:sz w:val="22"/>
        </w:rPr>
      </w:pPr>
      <w:r>
        <w:rPr>
          <w:sz w:val="22"/>
        </w:rPr>
      </w:r>
    </w:p>
    <w:p>
      <w:pPr>
        <w:pStyle w:val="Normal"/>
        <w:rPr>
          <w:sz w:val="22"/>
        </w:rPr>
      </w:pPr>
      <w:r>
        <w:rPr>
          <w:sz w:val="22"/>
        </w:rPr>
      </w:r>
    </w:p>
    <w:tbl>
      <w:tblPr>
        <w:tblW w:w="10980" w:type="dxa"/>
        <w:jc w:val="start"/>
        <w:tblInd w:w="-612" w:type="dxa"/>
        <w:tblLayout w:type="fixed"/>
        <w:tblCellMar>
          <w:top w:w="0" w:type="dxa"/>
          <w:start w:w="108" w:type="dxa"/>
          <w:bottom w:w="0" w:type="dxa"/>
          <w:end w:w="108" w:type="dxa"/>
        </w:tblCellMar>
      </w:tblPr>
      <w:tblGrid>
        <w:gridCol w:w="1800"/>
        <w:gridCol w:w="2070"/>
        <w:gridCol w:w="24"/>
        <w:gridCol w:w="1596"/>
        <w:gridCol w:w="2520"/>
        <w:gridCol w:w="1530"/>
        <w:gridCol w:w="90"/>
        <w:gridCol w:w="90"/>
        <w:gridCol w:w="1260"/>
      </w:tblGrid>
      <w:tr>
        <w:trPr>
          <w:trHeight w:val="287" w:hRule="atLeast"/>
        </w:trPr>
        <w:tc>
          <w:tcPr>
            <w:tcW w:w="10980" w:type="dxa"/>
            <w:gridSpan w:val="9"/>
            <w:tcBorders>
              <w:top w:val="single" w:sz="4" w:space="0" w:color="000000"/>
              <w:start w:val="single" w:sz="4" w:space="0" w:color="000000"/>
              <w:bottom w:val="single" w:sz="4" w:space="0" w:color="000000"/>
              <w:end w:val="single" w:sz="4" w:space="0" w:color="000000"/>
            </w:tcBorders>
            <w:shd w:fill="0000FF" w:val="clear"/>
          </w:tcPr>
          <w:p>
            <w:pPr>
              <w:pStyle w:val="Normal"/>
              <w:rPr/>
            </w:pPr>
            <w:r>
              <w:rPr>
                <w:b/>
                <w:color w:val="FFFFFF"/>
                <w:sz w:val="28"/>
              </w:rPr>
              <w:t xml:space="preserve">Economic Calendar – December 4 to December 8                            </w:t>
            </w:r>
            <w:r>
              <w:rPr>
                <w:b/>
                <w:color w:val="FFFFFF"/>
                <w:sz w:val="22"/>
              </w:rPr>
              <w:t xml:space="preserve">                           (all times are CST)</w:t>
            </w:r>
          </w:p>
        </w:tc>
      </w:tr>
      <w:tr>
        <w:trPr/>
        <w:tc>
          <w:tcPr>
            <w:tcW w:w="1800" w:type="dxa"/>
            <w:tcBorders>
              <w:top w:val="single" w:sz="4" w:space="0" w:color="000000"/>
              <w:start w:val="single" w:sz="4" w:space="0" w:color="000000"/>
              <w:end w:val="single" w:sz="4" w:space="0" w:color="000000"/>
            </w:tcBorders>
          </w:tcPr>
          <w:p>
            <w:pPr>
              <w:pStyle w:val="Heading3"/>
              <w:spacing w:before="0" w:after="0"/>
              <w:ind w:hanging="0" w:start="0"/>
              <w:jc w:val="center"/>
              <w:rPr/>
            </w:pPr>
            <w:r>
              <w:rPr/>
              <w:t>Country</w:t>
            </w:r>
          </w:p>
        </w:tc>
        <w:tc>
          <w:tcPr>
            <w:tcW w:w="2094" w:type="dxa"/>
            <w:gridSpan w:val="2"/>
            <w:tcBorders>
              <w:top w:val="single" w:sz="4" w:space="0" w:color="000000"/>
              <w:start w:val="single" w:sz="4" w:space="0" w:color="000000"/>
              <w:end w:val="single" w:sz="4" w:space="0" w:color="000000"/>
            </w:tcBorders>
          </w:tcPr>
          <w:p>
            <w:pPr>
              <w:pStyle w:val="Normal"/>
              <w:jc w:val="center"/>
              <w:rPr>
                <w:b/>
                <w:sz w:val="22"/>
              </w:rPr>
            </w:pPr>
            <w:r>
              <w:rPr>
                <w:b/>
                <w:sz w:val="22"/>
              </w:rPr>
              <w:t>Mon. Dec. 4</w:t>
            </w:r>
          </w:p>
        </w:tc>
        <w:tc>
          <w:tcPr>
            <w:tcW w:w="1596" w:type="dxa"/>
            <w:tcBorders>
              <w:top w:val="single" w:sz="4" w:space="0" w:color="000000"/>
              <w:start w:val="single" w:sz="4" w:space="0" w:color="000000"/>
              <w:end w:val="single" w:sz="4" w:space="0" w:color="000000"/>
            </w:tcBorders>
          </w:tcPr>
          <w:p>
            <w:pPr>
              <w:pStyle w:val="Normal"/>
              <w:jc w:val="center"/>
              <w:rPr>
                <w:b/>
                <w:sz w:val="22"/>
              </w:rPr>
            </w:pPr>
            <w:r>
              <w:rPr>
                <w:b/>
                <w:sz w:val="22"/>
              </w:rPr>
              <w:t>Tues. Dec. 5</w:t>
            </w:r>
          </w:p>
        </w:tc>
        <w:tc>
          <w:tcPr>
            <w:tcW w:w="2520" w:type="dxa"/>
            <w:tcBorders>
              <w:top w:val="single" w:sz="4" w:space="0" w:color="000000"/>
              <w:start w:val="single" w:sz="4" w:space="0" w:color="000000"/>
              <w:end w:val="single" w:sz="4" w:space="0" w:color="000000"/>
            </w:tcBorders>
          </w:tcPr>
          <w:p>
            <w:pPr>
              <w:pStyle w:val="Normal"/>
              <w:jc w:val="center"/>
              <w:rPr>
                <w:b/>
                <w:sz w:val="22"/>
              </w:rPr>
            </w:pPr>
            <w:r>
              <w:rPr>
                <w:b/>
                <w:sz w:val="22"/>
              </w:rPr>
              <w:t>Wed. Dec. 6</w:t>
            </w:r>
          </w:p>
        </w:tc>
        <w:tc>
          <w:tcPr>
            <w:tcW w:w="1710" w:type="dxa"/>
            <w:gridSpan w:val="3"/>
            <w:tcBorders>
              <w:top w:val="single" w:sz="4" w:space="0" w:color="000000"/>
              <w:start w:val="single" w:sz="4" w:space="0" w:color="000000"/>
              <w:end w:val="single" w:sz="4" w:space="0" w:color="000000"/>
            </w:tcBorders>
          </w:tcPr>
          <w:p>
            <w:pPr>
              <w:pStyle w:val="Normal"/>
              <w:jc w:val="center"/>
              <w:rPr>
                <w:b/>
                <w:sz w:val="22"/>
              </w:rPr>
            </w:pPr>
            <w:r>
              <w:rPr>
                <w:b/>
                <w:sz w:val="22"/>
              </w:rPr>
              <w:t>Thurs. Dec. 7</w:t>
            </w:r>
          </w:p>
        </w:tc>
        <w:tc>
          <w:tcPr>
            <w:tcW w:w="1260" w:type="dxa"/>
            <w:tcBorders>
              <w:top w:val="single" w:sz="4" w:space="0" w:color="000000"/>
              <w:start w:val="single" w:sz="4" w:space="0" w:color="000000"/>
              <w:end w:val="single" w:sz="4" w:space="0" w:color="000000"/>
            </w:tcBorders>
          </w:tcPr>
          <w:p>
            <w:pPr>
              <w:pStyle w:val="Normal"/>
              <w:jc w:val="center"/>
              <w:rPr>
                <w:b/>
                <w:sz w:val="22"/>
              </w:rPr>
            </w:pPr>
            <w:r>
              <w:rPr>
                <w:b/>
                <w:sz w:val="22"/>
              </w:rPr>
              <w:t>Fri. Dec. 8</w:t>
            </w:r>
          </w:p>
        </w:tc>
      </w:tr>
      <w:tr>
        <w:trPr/>
        <w:tc>
          <w:tcPr>
            <w:tcW w:w="10980" w:type="dxa"/>
            <w:gridSpan w:val="9"/>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The Americas</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U.S.</w:t>
            </w:r>
          </w:p>
          <w:p>
            <w:pPr>
              <w:pStyle w:val="Normal"/>
              <w:rPr>
                <w:b/>
                <w:sz w:val="22"/>
              </w:rPr>
            </w:pPr>
            <w:r>
              <w:rPr>
                <w:b/>
                <w:sz w:val="22"/>
              </w:rPr>
            </w:r>
          </w:p>
          <w:p>
            <w:pPr>
              <w:pStyle w:val="Normal"/>
              <w:rPr>
                <w:b/>
                <w:sz w:val="22"/>
              </w:rPr>
            </w:pPr>
            <w:r>
              <w:rPr>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BodyText2"/>
              <w:rPr>
                <w:color w:val="000080"/>
              </w:rPr>
            </w:pPr>
            <w:r>
              <w:rPr>
                <w:color w:val="000080"/>
              </w:rPr>
              <w:t>New Home Sales (Oct)</w:t>
            </w:r>
          </w:p>
          <w:p>
            <w:pPr>
              <w:pStyle w:val="BodyText2"/>
              <w:rPr>
                <w:color w:val="000080"/>
              </w:rPr>
            </w:pPr>
            <w:r>
              <w:rPr>
                <w:color w:val="000080"/>
              </w:rPr>
              <w:t>Leading Indicators (Oct)</w:t>
            </w:r>
          </w:p>
          <w:p>
            <w:pPr>
              <w:pStyle w:val="BodyText2"/>
              <w:rPr>
                <w:color w:val="auto"/>
              </w:rPr>
            </w:pPr>
            <w:r>
              <w:rPr>
                <w:color w:val="auto"/>
              </w:rPr>
              <w:t>Light Vehicle Sales (Nov)</w:t>
            </w:r>
          </w:p>
          <w:p>
            <w:pPr>
              <w:pStyle w:val="BodyText2"/>
              <w:rPr>
                <w:color w:val="auto"/>
              </w:rPr>
            </w:pPr>
            <w:r>
              <w:rPr>
                <w:color w:val="auto"/>
              </w:rPr>
              <w:t>Auction of T-bills:</w:t>
            </w:r>
          </w:p>
          <w:p>
            <w:pPr>
              <w:pStyle w:val="BodyText2"/>
              <w:rPr>
                <w:color w:val="auto"/>
              </w:rPr>
            </w:pPr>
            <w:r>
              <w:rPr>
                <w:color w:val="auto"/>
              </w:rPr>
              <w:t>$21.0 bil</w:t>
            </w:r>
          </w:p>
          <w:p>
            <w:pPr>
              <w:pStyle w:val="BodyText2"/>
              <w:rPr/>
            </w:pPr>
            <w:r>
              <w:rPr/>
              <w:t>Fed Pres. Broaddus to speak about current economic situation (12:45 pm)</w:t>
            </w:r>
          </w:p>
          <w:p>
            <w:pPr>
              <w:pStyle w:val="BodyText2"/>
              <w:rPr/>
            </w:pPr>
            <w:r>
              <w:rPr/>
            </w:r>
          </w:p>
          <w:p>
            <w:pPr>
              <w:pStyle w:val="BodyText2"/>
              <w:rPr>
                <w:rFonts w:eastAsia="Garamond"/>
              </w:rPr>
            </w:pPr>
            <w:r>
              <w:rPr>
                <w:rFonts w:eastAsia="Garamond"/>
              </w:rPr>
              <w:t xml:space="preserve"> </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Redbook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Factory Orders (Oct)</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NAPM nonmfg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Fed to release annual revisions to industrial production and capacity utilization</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FF0000"/>
              </w:rPr>
            </w:pPr>
            <w:r>
              <w:rPr>
                <w:rFonts w:cs="Garamond" w:ascii="Garamond" w:hAnsi="Garamond"/>
                <w:color w:val="FF0000"/>
              </w:rPr>
              <w:t>Fed Chair Greenspan to give a speech in New York (10:45 am)</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color w:val="FF0000"/>
              </w:rPr>
              <w:t>Fed Pres. Parry to speak in San Francisco         (3:55 pm)</w:t>
            </w:r>
          </w:p>
        </w:tc>
        <w:tc>
          <w:tcPr>
            <w:tcW w:w="2520" w:type="dxa"/>
            <w:tcBorders>
              <w:top w:val="single" w:sz="4" w:space="0" w:color="000000"/>
              <w:start w:val="single" w:sz="4" w:space="0" w:color="000000"/>
              <w:bottom w:val="single" w:sz="4" w:space="0" w:color="000000"/>
              <w:end w:val="single" w:sz="4" w:space="0" w:color="000000"/>
            </w:tcBorders>
          </w:tcPr>
          <w:p>
            <w:pPr>
              <w:pStyle w:val="Normal"/>
              <w:ind w:end="-288"/>
              <w:rPr/>
            </w:pPr>
            <w:r>
              <w:rPr/>
              <w:t>Mortgage Applications (Dec)</w:t>
            </w:r>
          </w:p>
          <w:p>
            <w:pPr>
              <w:pStyle w:val="Normal"/>
              <w:ind w:end="-288"/>
              <w:rPr/>
            </w:pPr>
            <w:r>
              <w:rPr/>
              <w:t>Non- farm Productivity (00Q3)</w:t>
            </w:r>
          </w:p>
          <w:p>
            <w:pPr>
              <w:pStyle w:val="Normal"/>
              <w:ind w:end="-288"/>
              <w:rPr/>
            </w:pPr>
            <w:r>
              <w:rPr/>
              <w:t>Unit Labor Costs (00Q3)</w:t>
            </w:r>
          </w:p>
          <w:p>
            <w:pPr>
              <w:pStyle w:val="Normal"/>
              <w:ind w:end="-288"/>
              <w:rPr/>
            </w:pPr>
            <w:r>
              <w:rPr/>
              <w:t>Housing Completions (Oct)</w:t>
            </w:r>
          </w:p>
          <w:p>
            <w:pPr>
              <w:pStyle w:val="Normal"/>
              <w:ind w:end="-288"/>
              <w:rPr/>
            </w:pPr>
            <w:r>
              <w:rPr/>
              <w:t>Treasury Strips (Nov)</w:t>
            </w:r>
          </w:p>
          <w:p>
            <w:pPr>
              <w:pStyle w:val="Normal"/>
              <w:ind w:end="-288"/>
              <w:rPr/>
            </w:pPr>
            <w:r>
              <w:rPr/>
            </w:r>
          </w:p>
          <w:p>
            <w:pPr>
              <w:pStyle w:val="Normal"/>
              <w:ind w:end="-288"/>
              <w:rPr>
                <w:color w:val="FF0000"/>
              </w:rPr>
            </w:pPr>
            <w:r>
              <w:rPr>
                <w:color w:val="FF0000"/>
              </w:rPr>
              <w:t>Fed Beige Book (2:00 pm)</w:t>
            </w:r>
          </w:p>
          <w:p>
            <w:pPr>
              <w:pStyle w:val="Normal"/>
              <w:ind w:end="-288"/>
              <w:rPr>
                <w:color w:val="FF0000"/>
              </w:rPr>
            </w:pPr>
            <w:r>
              <w:rPr>
                <w:color w:val="FF0000"/>
              </w:rPr>
            </w:r>
          </w:p>
          <w:p>
            <w:pPr>
              <w:pStyle w:val="Normal"/>
              <w:ind w:end="-288"/>
              <w:rPr/>
            </w:pPr>
            <w:r>
              <w:rPr/>
              <w:t>Announcement of Buybacks: $(1.5)bil</w:t>
            </w:r>
          </w:p>
        </w:tc>
        <w:tc>
          <w:tcPr>
            <w:tcW w:w="1530" w:type="dxa"/>
            <w:tcBorders>
              <w:top w:val="single" w:sz="4" w:space="0" w:color="000000"/>
              <w:start w:val="single" w:sz="4" w:space="0" w:color="000000"/>
              <w:bottom w:val="single" w:sz="4" w:space="0" w:color="000000"/>
              <w:end w:val="single" w:sz="4" w:space="0" w:color="000000"/>
            </w:tcBorders>
          </w:tcPr>
          <w:p>
            <w:pPr>
              <w:pStyle w:val="BodyTextIndent2"/>
              <w:rPr/>
            </w:pPr>
            <w:r>
              <w:rPr/>
              <w:t>Jobless Claims (Dec)</w:t>
            </w:r>
          </w:p>
          <w:p>
            <w:pPr>
              <w:pStyle w:val="BodyTextIndent3"/>
              <w:rPr/>
            </w:pPr>
            <w:r>
              <w:rPr/>
              <w:t>Consumer Credit (Oct)</w:t>
            </w:r>
          </w:p>
          <w:p>
            <w:pPr>
              <w:pStyle w:val="Normal"/>
              <w:ind w:start="72" w:end="0"/>
              <w:rPr/>
            </w:pPr>
            <w:r>
              <w:rPr/>
              <w:t>Auction of Buybacks:  $(1.5)bil</w:t>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Non-farm Payrolls (Nov)</w:t>
            </w:r>
          </w:p>
          <w:p>
            <w:pPr>
              <w:pStyle w:val="Normal"/>
              <w:rPr>
                <w:color w:val="000080"/>
              </w:rPr>
            </w:pPr>
            <w:r>
              <w:rPr>
                <w:color w:val="000080"/>
              </w:rPr>
              <w:t>Unemployment (Nov)</w:t>
            </w:r>
          </w:p>
          <w:p>
            <w:pPr>
              <w:pStyle w:val="Normal"/>
              <w:rPr>
                <w:color w:val="000080"/>
              </w:rPr>
            </w:pPr>
            <w:r>
              <w:rPr>
                <w:color w:val="000080"/>
              </w:rPr>
              <w:t>Hourly Earnings (Nov)</w:t>
            </w:r>
          </w:p>
          <w:p>
            <w:pPr>
              <w:pStyle w:val="Normal"/>
              <w:rPr>
                <w:color w:val="000080"/>
              </w:rPr>
            </w:pPr>
            <w:r>
              <w:rPr>
                <w:color w:val="000080"/>
              </w:rPr>
              <w:t>ECRI (Nov)</w:t>
            </w:r>
          </w:p>
          <w:p>
            <w:pPr>
              <w:pStyle w:val="Normal"/>
              <w:rPr/>
            </w:pPr>
            <w:r>
              <w:rPr/>
              <w:t xml:space="preserve">U of Mich confid (Dec) </w:t>
            </w:r>
          </w:p>
        </w:tc>
      </w:tr>
      <w:tr>
        <w:trPr/>
        <w:tc>
          <w:tcPr>
            <w:tcW w:w="1800" w:type="dxa"/>
            <w:tcBorders>
              <w:top w:val="single" w:sz="4" w:space="0" w:color="000000"/>
              <w:start w:val="single" w:sz="4" w:space="0" w:color="000000"/>
              <w:end w:val="single" w:sz="4" w:space="0" w:color="000000"/>
            </w:tcBorders>
          </w:tcPr>
          <w:p>
            <w:pPr>
              <w:pStyle w:val="Normal"/>
              <w:rPr>
                <w:b/>
                <w:sz w:val="22"/>
              </w:rPr>
            </w:pPr>
            <w:r>
              <w:rPr>
                <w:b/>
                <w:sz w:val="22"/>
              </w:rPr>
              <w:t>Canada</w:t>
            </w:r>
          </w:p>
        </w:tc>
        <w:tc>
          <w:tcPr>
            <w:tcW w:w="2070" w:type="dxa"/>
            <w:tcBorders>
              <w:top w:val="single" w:sz="4" w:space="0" w:color="000000"/>
              <w:start w:val="single" w:sz="4" w:space="0" w:color="000000"/>
              <w:end w:val="single" w:sz="4" w:space="0" w:color="000000"/>
            </w:tcBorders>
          </w:tcPr>
          <w:p>
            <w:pPr>
              <w:pStyle w:val="Normal"/>
              <w:snapToGrid w:val="false"/>
              <w:rPr>
                <w:b/>
                <w:sz w:val="22"/>
              </w:rPr>
            </w:pPr>
            <w:r>
              <w:rPr>
                <w:b/>
                <w:sz w:val="22"/>
              </w:rPr>
            </w:r>
          </w:p>
        </w:tc>
        <w:tc>
          <w:tcPr>
            <w:tcW w:w="1620" w:type="dxa"/>
            <w:gridSpan w:val="2"/>
            <w:tcBorders>
              <w:top w:val="single" w:sz="4" w:space="0" w:color="000000"/>
              <w:start w:val="single" w:sz="4" w:space="0" w:color="000000"/>
              <w:end w:val="single" w:sz="4" w:space="0" w:color="000000"/>
            </w:tcBorders>
          </w:tcPr>
          <w:p>
            <w:pPr>
              <w:pStyle w:val="Normal"/>
              <w:snapToGrid w:val="false"/>
              <w:rPr>
                <w:color w:val="000080"/>
              </w:rPr>
            </w:pPr>
            <w:r>
              <w:rPr>
                <w:color w:val="000080"/>
              </w:rPr>
            </w:r>
          </w:p>
        </w:tc>
        <w:tc>
          <w:tcPr>
            <w:tcW w:w="2520" w:type="dxa"/>
            <w:tcBorders>
              <w:top w:val="single" w:sz="4" w:space="0" w:color="000000"/>
              <w:start w:val="single" w:sz="4" w:space="0" w:color="000000"/>
              <w:end w:val="single" w:sz="4" w:space="0" w:color="000000"/>
            </w:tcBorders>
          </w:tcPr>
          <w:p>
            <w:pPr>
              <w:pStyle w:val="Normal"/>
              <w:rPr>
                <w:color w:val="000080"/>
              </w:rPr>
            </w:pPr>
            <w:r>
              <w:rPr>
                <w:color w:val="000080"/>
              </w:rPr>
              <w:t>Building Permits (Oct)</w:t>
            </w:r>
          </w:p>
        </w:tc>
        <w:tc>
          <w:tcPr>
            <w:tcW w:w="1530" w:type="dxa"/>
            <w:tcBorders>
              <w:top w:val="single" w:sz="4" w:space="0" w:color="000000"/>
              <w:start w:val="single" w:sz="4" w:space="0" w:color="000000"/>
              <w:end w:val="single" w:sz="4" w:space="0" w:color="000000"/>
            </w:tcBorders>
          </w:tcPr>
          <w:p>
            <w:pPr>
              <w:pStyle w:val="Normal"/>
              <w:rPr>
                <w:color w:val="000080"/>
              </w:rPr>
            </w:pPr>
            <w:r>
              <w:rPr>
                <w:color w:val="000080"/>
              </w:rPr>
              <w:t>Capacity Utilization (00Q3)</w:t>
            </w:r>
          </w:p>
        </w:tc>
        <w:tc>
          <w:tcPr>
            <w:tcW w:w="1440" w:type="dxa"/>
            <w:gridSpan w:val="3"/>
            <w:tcBorders>
              <w:top w:val="single" w:sz="4" w:space="0" w:color="000000"/>
              <w:start w:val="single" w:sz="4" w:space="0" w:color="000000"/>
              <w:end w:val="single" w:sz="4" w:space="0" w:color="000000"/>
            </w:tcBorders>
          </w:tcPr>
          <w:p>
            <w:pPr>
              <w:pStyle w:val="Normal"/>
              <w:rPr>
                <w:color w:val="000080"/>
              </w:rPr>
            </w:pPr>
            <w:r>
              <w:rPr>
                <w:color w:val="000080"/>
              </w:rPr>
              <w:t>Housing Starts (Nov)</w:t>
            </w:r>
          </w:p>
        </w:tc>
      </w:tr>
      <w:tr>
        <w:trPr/>
        <w:tc>
          <w:tcPr>
            <w:tcW w:w="10980" w:type="dxa"/>
            <w:gridSpan w:val="9"/>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Europe</w:t>
            </w:r>
          </w:p>
        </w:tc>
      </w:tr>
      <w:tr>
        <w:trPr/>
        <w:tc>
          <w:tcPr>
            <w:tcW w:w="1800" w:type="dxa"/>
            <w:tcBorders>
              <w:top w:val="single" w:sz="4" w:space="0" w:color="000000"/>
              <w:start w:val="single" w:sz="4" w:space="0" w:color="000000"/>
              <w:end w:val="single" w:sz="4" w:space="0" w:color="000000"/>
            </w:tcBorders>
          </w:tcPr>
          <w:p>
            <w:pPr>
              <w:pStyle w:val="Normal"/>
              <w:rPr>
                <w:b/>
                <w:sz w:val="22"/>
              </w:rPr>
            </w:pPr>
            <w:r>
              <w:rPr>
                <w:b/>
                <w:sz w:val="22"/>
              </w:rPr>
              <w:t>ECB</w:t>
            </w:r>
          </w:p>
          <w:p>
            <w:pPr>
              <w:pStyle w:val="Normal"/>
              <w:rPr>
                <w:b/>
                <w:sz w:val="22"/>
              </w:rPr>
            </w:pPr>
            <w:r>
              <w:rPr>
                <w:b/>
                <w:sz w:val="22"/>
              </w:rPr>
            </w:r>
          </w:p>
          <w:p>
            <w:pPr>
              <w:pStyle w:val="Normal"/>
              <w:rPr>
                <w:b/>
                <w:sz w:val="22"/>
              </w:rPr>
            </w:pPr>
            <w:r>
              <w:rPr>
                <w:b/>
                <w:sz w:val="22"/>
              </w:rPr>
            </w:r>
          </w:p>
        </w:tc>
        <w:tc>
          <w:tcPr>
            <w:tcW w:w="2094" w:type="dxa"/>
            <w:gridSpan w:val="2"/>
            <w:tcBorders>
              <w:top w:val="single" w:sz="4" w:space="0" w:color="000000"/>
              <w:start w:val="single" w:sz="4" w:space="0" w:color="000000"/>
              <w:end w:val="single" w:sz="4" w:space="0" w:color="000000"/>
            </w:tcBorders>
          </w:tcPr>
          <w:p>
            <w:pPr>
              <w:pStyle w:val="Normal"/>
              <w:rPr>
                <w:color w:val="000080"/>
              </w:rPr>
            </w:pPr>
            <w:r>
              <w:rPr>
                <w:b/>
                <w:color w:val="000080"/>
              </w:rPr>
              <w:t>Italy:</w:t>
            </w:r>
            <w:r>
              <w:rPr>
                <w:color w:val="000080"/>
              </w:rPr>
              <w:t xml:space="preserve"> </w:t>
            </w:r>
            <w:r>
              <w:rPr/>
              <w:t>New Car</w:t>
            </w:r>
            <w:r>
              <w:rPr>
                <w:color w:val="000080"/>
              </w:rPr>
              <w:t xml:space="preserve"> </w:t>
            </w:r>
            <w:r>
              <w:rPr/>
              <w:t>Registrations (Nov)</w:t>
            </w:r>
          </w:p>
        </w:tc>
        <w:tc>
          <w:tcPr>
            <w:tcW w:w="1596" w:type="dxa"/>
            <w:tcBorders>
              <w:top w:val="single" w:sz="4" w:space="0" w:color="000000"/>
              <w:start w:val="single" w:sz="4" w:space="0" w:color="000000"/>
              <w:end w:val="single" w:sz="4" w:space="0" w:color="000000"/>
            </w:tcBorders>
          </w:tcPr>
          <w:p>
            <w:pPr>
              <w:pStyle w:val="Normal"/>
              <w:rPr/>
            </w:pPr>
            <w:r>
              <w:rPr>
                <w:rFonts w:eastAsia="Garamond"/>
                <w:color w:val="000080"/>
              </w:rPr>
              <w:t xml:space="preserve"> </w:t>
            </w:r>
            <w:r>
              <w:rPr>
                <w:b/>
                <w:color w:val="000080"/>
              </w:rPr>
              <w:t>France:</w:t>
            </w:r>
            <w:r>
              <w:rPr>
                <w:color w:val="000080"/>
              </w:rPr>
              <w:t xml:space="preserve"> INSEE household survey (Nov)</w:t>
            </w:r>
          </w:p>
          <w:p>
            <w:pPr>
              <w:pStyle w:val="Normal"/>
              <w:rPr/>
            </w:pPr>
            <w:r>
              <w:rPr>
                <w:b/>
                <w:color w:val="000080"/>
              </w:rPr>
              <w:t xml:space="preserve">Euro Area: </w:t>
            </w:r>
            <w:r>
              <w:rPr>
                <w:color w:val="000080"/>
              </w:rPr>
              <w:t>Services PMI (Nov), Business &amp; Consumer Survey (Nov), Unemployment (Oct)</w:t>
            </w:r>
          </w:p>
          <w:p>
            <w:pPr>
              <w:pStyle w:val="Normal"/>
              <w:rPr>
                <w:color w:val="000080"/>
              </w:rPr>
            </w:pPr>
            <w:r>
              <w:rPr>
                <w:color w:val="000080"/>
              </w:rPr>
              <w:t>Refinancing Operation</w:t>
            </w:r>
          </w:p>
          <w:p>
            <w:pPr>
              <w:pStyle w:val="Normal"/>
              <w:rPr/>
            </w:pPr>
            <w:r>
              <w:rPr>
                <w:b/>
                <w:color w:val="000080"/>
              </w:rPr>
              <w:t xml:space="preserve">Italy: </w:t>
            </w:r>
            <w:r>
              <w:rPr>
                <w:color w:val="000080"/>
              </w:rPr>
              <w:t>PMI- Services (Nov)</w:t>
            </w:r>
          </w:p>
          <w:p>
            <w:pPr>
              <w:pStyle w:val="Normal"/>
              <w:rPr/>
            </w:pPr>
            <w:r>
              <w:rPr>
                <w:b/>
                <w:color w:val="000080"/>
              </w:rPr>
              <w:t>Germany:</w:t>
            </w:r>
            <w:r>
              <w:rPr>
                <w:color w:val="000080"/>
              </w:rPr>
              <w:t xml:space="preserve"> </w:t>
            </w:r>
          </w:p>
          <w:p>
            <w:pPr>
              <w:pStyle w:val="Normal"/>
              <w:rPr>
                <w:color w:val="000080"/>
              </w:rPr>
            </w:pPr>
            <w:r>
              <w:rPr>
                <w:color w:val="000080"/>
              </w:rPr>
              <w:t>PMI-Services (Nov)</w:t>
            </w:r>
          </w:p>
          <w:p>
            <w:pPr>
              <w:pStyle w:val="Normal"/>
              <w:rPr>
                <w:color w:val="000080"/>
              </w:rPr>
            </w:pPr>
            <w:r>
              <w:rPr>
                <w:color w:val="000080"/>
              </w:rPr>
              <w:t>Employment (Sep)</w:t>
            </w:r>
          </w:p>
          <w:p>
            <w:pPr>
              <w:pStyle w:val="Normal"/>
              <w:rPr>
                <w:color w:val="000080"/>
              </w:rPr>
            </w:pPr>
            <w:r>
              <w:rPr>
                <w:color w:val="000080"/>
              </w:rPr>
              <w:t>Unemployment Rate (Nov)</w:t>
            </w:r>
          </w:p>
          <w:p>
            <w:pPr>
              <w:pStyle w:val="Normal"/>
              <w:rPr>
                <w:color w:val="000080"/>
              </w:rPr>
            </w:pPr>
            <w:r>
              <w:rPr>
                <w:color w:val="000080"/>
              </w:rPr>
            </w:r>
          </w:p>
        </w:tc>
        <w:tc>
          <w:tcPr>
            <w:tcW w:w="2520" w:type="dxa"/>
            <w:tcBorders>
              <w:top w:val="single" w:sz="4" w:space="0" w:color="000000"/>
              <w:start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pPr>
            <w:r>
              <w:rPr>
                <w:rFonts w:cs="Garamond" w:ascii="Garamond" w:hAnsi="Garamond"/>
                <w:b/>
                <w:color w:val="000080"/>
              </w:rPr>
              <w:t xml:space="preserve">Germany: </w:t>
            </w:r>
            <w:r>
              <w:rPr>
                <w:rFonts w:cs="Garamond" w:ascii="Garamond" w:hAnsi="Garamond"/>
                <w:color w:val="000080"/>
              </w:rPr>
              <w:t>Manufacturing Orders (Oct)</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b/>
                <w:color w:val="000080"/>
              </w:rPr>
            </w:pPr>
            <w:r>
              <w:rPr>
                <w:rFonts w:cs="Garamond" w:ascii="Garamond" w:hAnsi="Garamond"/>
                <w:b/>
                <w:color w:val="000080"/>
              </w:rPr>
              <w:t>France:</w:t>
            </w:r>
            <w:r>
              <w:rPr>
                <w:rFonts w:cs="Garamond" w:ascii="Garamond" w:hAnsi="Garamond"/>
                <w:color w:val="000080"/>
              </w:rPr>
              <w:t xml:space="preserve"> Monthly Budget (Oct)</w:t>
            </w:r>
          </w:p>
        </w:tc>
        <w:tc>
          <w:tcPr>
            <w:tcW w:w="1620" w:type="dxa"/>
            <w:gridSpan w:val="2"/>
            <w:tcBorders>
              <w:top w:val="single" w:sz="4" w:space="0" w:color="000000"/>
              <w:start w:val="single" w:sz="4" w:space="0" w:color="000000"/>
              <w:end w:val="single" w:sz="4" w:space="0" w:color="000000"/>
            </w:tcBorders>
          </w:tcPr>
          <w:p>
            <w:pPr>
              <w:pStyle w:val="Normal"/>
              <w:rPr/>
            </w:pPr>
            <w:r>
              <w:rPr>
                <w:b/>
                <w:color w:val="000080"/>
              </w:rPr>
              <w:t>Euro Area:</w:t>
            </w:r>
            <w:r>
              <w:rPr>
                <w:color w:val="000080"/>
              </w:rPr>
              <w:t xml:space="preserve"> Retail Sales (Sep)</w:t>
            </w:r>
          </w:p>
          <w:p>
            <w:pPr>
              <w:pStyle w:val="Normal"/>
              <w:rPr>
                <w:color w:val="000080"/>
              </w:rPr>
            </w:pPr>
            <w:r>
              <w:rPr>
                <w:color w:val="000080"/>
              </w:rPr>
              <w:t>PPI  (Oct)</w:t>
            </w:r>
          </w:p>
          <w:p>
            <w:pPr>
              <w:pStyle w:val="Normal"/>
              <w:rPr/>
            </w:pPr>
            <w:r>
              <w:rPr>
                <w:b/>
                <w:color w:val="000080"/>
              </w:rPr>
              <w:t>Germany:</w:t>
            </w:r>
            <w:r>
              <w:rPr>
                <w:color w:val="000080"/>
              </w:rPr>
              <w:t xml:space="preserve"> Industrial Production (Oct)</w:t>
            </w:r>
          </w:p>
          <w:p>
            <w:pPr>
              <w:pStyle w:val="Normal"/>
              <w:rPr>
                <w:color w:val="000080"/>
              </w:rPr>
            </w:pPr>
            <w:r>
              <w:rPr>
                <w:color w:val="000080"/>
              </w:rPr>
            </w:r>
          </w:p>
          <w:p>
            <w:pPr>
              <w:pStyle w:val="Normal"/>
              <w:rPr>
                <w:color w:val="000080"/>
              </w:rPr>
            </w:pPr>
            <w:r>
              <w:rPr>
                <w:color w:val="000080"/>
              </w:rPr>
            </w:r>
          </w:p>
          <w:p>
            <w:pPr>
              <w:pStyle w:val="Normal"/>
              <w:rPr>
                <w:color w:val="FF0000"/>
              </w:rPr>
            </w:pPr>
            <w:r>
              <w:rPr>
                <w:color w:val="FF0000"/>
              </w:rPr>
              <w:t>European Council Meeting (Nice)</w:t>
            </w:r>
          </w:p>
        </w:tc>
        <w:tc>
          <w:tcPr>
            <w:tcW w:w="1350" w:type="dxa"/>
            <w:gridSpan w:val="2"/>
            <w:tcBorders>
              <w:top w:val="single" w:sz="4" w:space="0" w:color="000000"/>
              <w:start w:val="single" w:sz="4" w:space="0" w:color="000000"/>
              <w:end w:val="single" w:sz="4" w:space="0" w:color="000000"/>
            </w:tcBorders>
          </w:tcPr>
          <w:p>
            <w:pPr>
              <w:pStyle w:val="Normal"/>
              <w:rPr/>
            </w:pPr>
            <w:r>
              <w:rPr>
                <w:b/>
                <w:color w:val="000080"/>
              </w:rPr>
              <w:t xml:space="preserve">Euro Area: </w:t>
            </w:r>
            <w:r>
              <w:rPr>
                <w:color w:val="000080"/>
              </w:rPr>
              <w:t>Balance of Payments (00Q3)</w:t>
            </w:r>
          </w:p>
          <w:p>
            <w:pPr>
              <w:pStyle w:val="Normal"/>
              <w:rPr>
                <w:b/>
                <w:color w:val="000080"/>
              </w:rPr>
            </w:pPr>
            <w:r>
              <w:rPr>
                <w:b/>
                <w:color w:val="000080"/>
              </w:rPr>
            </w:r>
          </w:p>
          <w:p>
            <w:pPr>
              <w:pStyle w:val="Normal"/>
              <w:rPr>
                <w:b/>
                <w:color w:val="000080"/>
              </w:rPr>
            </w:pPr>
            <w:r>
              <w:rPr>
                <w:color w:val="FF0000"/>
              </w:rPr>
              <w:t>European Council Meeting (Nice)</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U.K.</w:t>
            </w:r>
          </w:p>
          <w:p>
            <w:pPr>
              <w:pStyle w:val="Normal"/>
              <w:rPr>
                <w:b/>
                <w:sz w:val="22"/>
              </w:rPr>
            </w:pPr>
            <w:r>
              <w:rPr>
                <w:b/>
                <w:sz w:val="22"/>
              </w:rPr>
            </w:r>
          </w:p>
          <w:p>
            <w:pPr>
              <w:pStyle w:val="Normal"/>
              <w:rPr>
                <w:b/>
                <w:sz w:val="22"/>
              </w:rPr>
            </w:pPr>
            <w:r>
              <w:rPr>
                <w:b/>
                <w:sz w:val="22"/>
              </w:rPr>
            </w:r>
          </w:p>
        </w:tc>
        <w:tc>
          <w:tcPr>
            <w:tcW w:w="2094"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eastAsia="Garamond" w:cs="Garamond" w:ascii="Garamond" w:hAnsi="Garamond"/>
                <w:color w:val="000080"/>
              </w:rPr>
              <w:t xml:space="preserve"> </w:t>
            </w:r>
            <w:r>
              <w:rPr>
                <w:rFonts w:cs="Garamond" w:ascii="Garamond" w:hAnsi="Garamond"/>
                <w:color w:val="000080"/>
              </w:rPr>
              <w:t>Money Supply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PMI- Construction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UK British Consortium Retail Sales Monitor</w:t>
            </w:r>
          </w:p>
        </w:tc>
        <w:tc>
          <w:tcPr>
            <w:tcW w:w="1596" w:type="dxa"/>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Halifax House Prices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Change in Official Reserves (Nov)</w:t>
            </w:r>
          </w:p>
          <w:p>
            <w:pPr>
              <w:pStyle w:val="Normal"/>
              <w:rPr>
                <w:color w:val="000080"/>
              </w:rPr>
            </w:pPr>
            <w:r>
              <w:rPr>
                <w:color w:val="000080"/>
              </w:rPr>
              <w:t>PMI- Services (Nov)</w:t>
            </w:r>
          </w:p>
          <w:p>
            <w:pPr>
              <w:pStyle w:val="Normal"/>
              <w:rPr>
                <w:color w:val="000080"/>
              </w:rPr>
            </w:pPr>
            <w:r>
              <w:rPr>
                <w:color w:val="000080"/>
              </w:rPr>
              <w:t>Retail Sales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Reports on Jobs (Nov)</w:t>
            </w:r>
          </w:p>
          <w:p>
            <w:pPr>
              <w:pStyle w:val="Normal"/>
              <w:rPr>
                <w:color w:val="000080"/>
              </w:rPr>
            </w:pPr>
            <w:r>
              <w:rPr>
                <w:color w:val="000080"/>
              </w:rPr>
              <w:t>Industrial Production (Oct)</w:t>
            </w:r>
          </w:p>
          <w:p>
            <w:pPr>
              <w:pStyle w:val="Normal"/>
              <w:rPr/>
            </w:pPr>
            <w:r>
              <w:rPr/>
              <w:t>Manufacturing Production (Oct)</w:t>
            </w:r>
          </w:p>
          <w:p>
            <w:pPr>
              <w:pStyle w:val="Normal"/>
              <w:rPr>
                <w:color w:val="000080"/>
              </w:rPr>
            </w:pPr>
            <w:r>
              <w:rPr>
                <w:color w:val="000080"/>
              </w:rPr>
              <w:t>Industrial Output (Oct)</w:t>
            </w:r>
          </w:p>
          <w:p>
            <w:pPr>
              <w:pStyle w:val="Normal"/>
              <w:rPr>
                <w:color w:val="000080"/>
              </w:rPr>
            </w:pPr>
            <w:r>
              <w:rPr>
                <w:color w:val="000080"/>
              </w:rPr>
              <w:t>New Car Registrations (Nov)</w:t>
            </w:r>
          </w:p>
          <w:p>
            <w:pPr>
              <w:pStyle w:val="Normal"/>
              <w:rPr>
                <w:color w:val="000080"/>
              </w:rPr>
            </w:pPr>
            <w:r>
              <w:rPr>
                <w:color w:val="000080"/>
              </w:rPr>
              <w:t>CBI Distributive Trades Survey (Nov)</w:t>
            </w:r>
          </w:p>
          <w:p>
            <w:pPr>
              <w:pStyle w:val="Normal"/>
              <w:rPr>
                <w:color w:val="FF0000"/>
              </w:rPr>
            </w:pPr>
            <w:r>
              <w:rPr>
                <w:color w:val="FF0000"/>
              </w:rPr>
              <w:t>MPC Meeting</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Construction New Orders (Oct)</w:t>
            </w:r>
          </w:p>
          <w:p>
            <w:pPr>
              <w:pStyle w:val="Normal"/>
              <w:rPr>
                <w:color w:val="000080"/>
              </w:rPr>
            </w:pPr>
            <w:r>
              <w:rPr>
                <w:color w:val="000080"/>
              </w:rPr>
              <w:t>Housing Starts and Completions (Oct)</w:t>
            </w:r>
          </w:p>
          <w:p>
            <w:pPr>
              <w:pStyle w:val="Normal"/>
              <w:rPr>
                <w:color w:val="000080"/>
              </w:rPr>
            </w:pPr>
            <w:r>
              <w:rPr>
                <w:color w:val="000080"/>
              </w:rPr>
            </w:r>
          </w:p>
          <w:p>
            <w:pPr>
              <w:pStyle w:val="Normal"/>
              <w:rPr>
                <w:color w:val="FF0000"/>
              </w:rPr>
            </w:pPr>
            <w:r>
              <w:rPr>
                <w:color w:val="FF0000"/>
              </w:rPr>
              <w:t>MPC Meeting Ends</w:t>
            </w:r>
          </w:p>
        </w:tc>
        <w:tc>
          <w:tcPr>
            <w:tcW w:w="135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FF0000"/>
              </w:rPr>
            </w:pPr>
            <w:r>
              <w:rPr>
                <w:rFonts w:cs="Garamond" w:ascii="Garamond" w:hAnsi="Garamond"/>
                <w:color w:val="FF0000"/>
              </w:rPr>
            </w:r>
          </w:p>
        </w:tc>
      </w:tr>
      <w:tr>
        <w:trPr/>
        <w:tc>
          <w:tcPr>
            <w:tcW w:w="10980" w:type="dxa"/>
            <w:gridSpan w:val="9"/>
            <w:tcBorders>
              <w:start w:val="single" w:sz="4" w:space="0" w:color="000000"/>
              <w:bottom w:val="single" w:sz="4" w:space="0" w:color="000000"/>
              <w:end w:val="single" w:sz="4" w:space="0" w:color="000000"/>
            </w:tcBorders>
            <w:shd w:fill="F2F2F2" w:val="clear"/>
          </w:tcPr>
          <w:p>
            <w:pPr>
              <w:pStyle w:val="Normal"/>
              <w:rPr>
                <w:i/>
                <w:i/>
                <w:sz w:val="22"/>
              </w:rPr>
            </w:pPr>
            <w:r>
              <w:rPr>
                <w:i/>
                <w:sz w:val="22"/>
              </w:rPr>
              <w:t>Asia/Pacific</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Australia</w:t>
            </w:r>
          </w:p>
          <w:p>
            <w:pPr>
              <w:pStyle w:val="Normal"/>
              <w:rPr>
                <w:b/>
                <w:sz w:val="22"/>
              </w:rPr>
            </w:pPr>
            <w:r>
              <w:rPr>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Company Profits (00Q3)</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rPr/>
            </w:pPr>
            <w:r>
              <w:rPr/>
              <w:t>Private Capital Expenditure (00Q3)</w:t>
            </w:r>
          </w:p>
        </w:tc>
        <w:tc>
          <w:tcPr>
            <w:tcW w:w="2520" w:type="dxa"/>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Employment Growth (Nov)</w:t>
            </w:r>
          </w:p>
          <w:p>
            <w:pPr>
              <w:pStyle w:val="Normal"/>
              <w:rPr>
                <w:color w:val="000080"/>
              </w:rPr>
            </w:pPr>
            <w:r>
              <w:rPr>
                <w:color w:val="000080"/>
              </w:rPr>
              <w:t>Unemployment Rate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Participation Rate (Nov)</w:t>
            </w:r>
          </w:p>
        </w:tc>
        <w:tc>
          <w:tcPr>
            <w:tcW w:w="1710" w:type="dxa"/>
            <w:gridSpan w:val="3"/>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Housing Finance (Oct)</w:t>
            </w:r>
          </w:p>
        </w:tc>
        <w:tc>
          <w:tcPr>
            <w:tcW w:w="126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NZ</w:t>
            </w:r>
          </w:p>
        </w:tc>
        <w:tc>
          <w:tcPr>
            <w:tcW w:w="207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rPr>
              <w:t>Retail Sales (Oct)</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RBNZ Official Cash Rate (Dec)</w:t>
            </w:r>
          </w:p>
        </w:tc>
        <w:tc>
          <w:tcPr>
            <w:tcW w:w="252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rPr>
            </w:pPr>
            <w:r>
              <w:rPr>
                <w:rFonts w:cs="Garamond" w:ascii="Garamond" w:hAnsi="Garamond"/>
              </w:rPr>
            </w:r>
          </w:p>
        </w:tc>
        <w:tc>
          <w:tcPr>
            <w:tcW w:w="1710" w:type="dxa"/>
            <w:gridSpan w:val="3"/>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rPr>
            </w:pPr>
            <w:r>
              <w:rPr>
                <w:rFonts w:cs="Garamond" w:ascii="Garamond" w:hAnsi="Garamond"/>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Garamond" w:hAnsi="Garamond" w:cs="Garamond"/>
              </w:rPr>
            </w:pPr>
            <w:r>
              <w:rPr>
                <w:rFonts w:cs="Garamond"/>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Japan</w:t>
            </w:r>
          </w:p>
          <w:p>
            <w:pPr>
              <w:pStyle w:val="Normal"/>
              <w:rPr>
                <w:b/>
                <w:sz w:val="22"/>
              </w:rPr>
            </w:pPr>
            <w:r>
              <w:rPr>
                <w:b/>
                <w:sz w:val="22"/>
              </w:rPr>
            </w:r>
          </w:p>
          <w:p>
            <w:pPr>
              <w:pStyle w:val="Normal"/>
              <w:rPr>
                <w:b/>
                <w:sz w:val="22"/>
              </w:rPr>
            </w:pPr>
            <w:r>
              <w:rPr>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GDP (00Q3)</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FF0000"/>
              </w:rPr>
              <w:t>Minutes of BOJ MPM</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Leading Indicators (Oct)</w:t>
            </w:r>
          </w:p>
        </w:tc>
        <w:tc>
          <w:tcPr>
            <w:tcW w:w="252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Household Survey (Oct)</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Household Spending (Oct)</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Diffusion Index (Oct)</w:t>
            </w:r>
          </w:p>
        </w:tc>
        <w:tc>
          <w:tcPr>
            <w:tcW w:w="1710" w:type="dxa"/>
            <w:gridSpan w:val="3"/>
            <w:tcBorders>
              <w:top w:val="single" w:sz="4" w:space="0" w:color="000000"/>
              <w:start w:val="single" w:sz="4" w:space="0" w:color="000000"/>
              <w:bottom w:val="single" w:sz="4" w:space="0" w:color="000000"/>
              <w:end w:val="single" w:sz="4" w:space="0" w:color="000000"/>
            </w:tcBorders>
          </w:tcPr>
          <w:p>
            <w:pPr>
              <w:pStyle w:val="Normal"/>
              <w:rPr/>
            </w:pPr>
            <w:r>
              <w:rPr/>
              <w:t>Wholesale Prices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Bank Lending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Money Supply (Nov)</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6yr JGB Auction</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Machinery Orders (Oct)</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Singapore</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b/>
                <w:color w:val="000080"/>
                <w:sz w:val="22"/>
              </w:rPr>
            </w:pPr>
            <w:r>
              <w:rPr>
                <w:b/>
                <w:color w:val="000080"/>
                <w:sz w:val="22"/>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color w:val="000080"/>
              </w:rPr>
            </w:pPr>
            <w:r>
              <w:rPr>
                <w:color w:val="00008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80"/>
              </w:rPr>
            </w:pPr>
            <w:r>
              <w:rPr>
                <w:color w:val="000080"/>
              </w:rPr>
            </w:r>
          </w:p>
        </w:tc>
        <w:tc>
          <w:tcPr>
            <w:tcW w:w="1710" w:type="dxa"/>
            <w:gridSpan w:val="3"/>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c>
          <w:tcPr>
            <w:tcW w:w="126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r>
    </w:tbl>
    <w:p>
      <w:pPr>
        <w:pStyle w:val="MacroText"/>
        <w:tabs>
          <w:tab w:val="clear" w:pos="480"/>
          <w:tab w:val="clear" w:pos="960"/>
          <w:tab w:val="clear" w:pos="1440"/>
          <w:tab w:val="clear" w:pos="1920"/>
          <w:tab w:val="clear" w:pos="2400"/>
          <w:tab w:val="clear" w:pos="2880"/>
          <w:tab w:val="clear" w:pos="3360"/>
          <w:tab w:val="clear" w:pos="3840"/>
          <w:tab w:val="clear" w:pos="4320"/>
        </w:tabs>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1440" w:right="144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Enron - For Internal Use Only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8</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 xml:space="preserve">Enron – For Internal Use Only </w:t>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8</w:t>
    </w:r>
    <w:r>
      <w:rPr>
        <w:rStyle w:val="PageNumber"/>
      </w:rPr>
      <w:fldChar w:fldCharType="end"/>
    </w:r>
  </w:p>
  <w:p>
    <w:pPr>
      <w:pStyle w:val="Footer"/>
      <w:rPr/>
    </w:pPr>
    <w:r>
      <w:rPr>
        <w:rStyle w:val="PageNumber"/>
        <w:rFonts w:eastAsia="Garamond"/>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40"/>
        <w:tab w:val="left" w:pos="270" w:leader="none"/>
        <w:tab w:val="left" w:pos="5760" w:leader="none"/>
      </w:tabs>
      <w:rPr>
        <w:b/>
        <w:sz w:val="24"/>
      </w:rPr>
    </w:pPr>
    <w:r>
      <w:rPr>
        <w:b/>
        <w:sz w:val="24"/>
      </w:rPr>
      <w:t>GLOBAL MARKETS Monitor (1 December 2000)</w:t>
    </w:r>
  </w:p>
  <w:p>
    <w:pPr>
      <w:pStyle w:val="Header"/>
      <w:tabs>
        <w:tab w:val="clear" w:pos="240"/>
        <w:tab w:val="left" w:pos="270" w:leader="none"/>
        <w:tab w:val="left" w:pos="5760" w:leader="none"/>
      </w:tabs>
      <w:rPr>
        <w:b/>
        <w:sz w:val="24"/>
      </w:rPr>
    </w:pPr>
    <w:r>
      <w:rPr>
        <w:b/>
        <w:sz w:val="24"/>
      </w:rPr>
      <w:t>ENA Research Group, continued</w:t>
    </w:r>
  </w:p>
  <w:p>
    <w:pPr>
      <w:pStyle w:val="Header"/>
      <w:tabs>
        <w:tab w:val="clear" w:pos="240"/>
        <w:tab w:val="left" w:pos="270" w:leader="none"/>
        <w:tab w:val="left" w:pos="5760" w:leader="none"/>
      </w:tabs>
      <w:spacing w:before="0" w:after="60"/>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pacing w:val="-4"/>
      <w:sz w:val="20"/>
      <w:szCs w:val="20"/>
      <w:lang w:val="en-US" w:eastAsia="zh-CN" w:bidi="hi-IN"/>
    </w:rPr>
  </w:style>
  <w:style w:type="paragraph" w:styleId="Heading1">
    <w:name w:val="heading 1"/>
    <w:basedOn w:val="Normal"/>
    <w:next w:val="BodyText"/>
    <w:qFormat/>
    <w:pPr>
      <w:numPr>
        <w:ilvl w:val="0"/>
        <w:numId w:val="1"/>
      </w:numPr>
      <w:pBdr>
        <w:top w:val="single" w:sz="6" w:space="3" w:color="FFFFFF"/>
        <w:left w:val="single" w:sz="6" w:space="3" w:color="FFFFFF"/>
        <w:bottom w:val="single" w:sz="6" w:space="3" w:color="FFFFFF"/>
        <w:right w:val="single" w:sz="6" w:space="3" w:color="FFFFFF"/>
      </w:pBdr>
      <w:shd w:fill="E5E5E5" w:val="clear"/>
      <w:spacing w:before="0" w:after="160"/>
      <w:ind w:hanging="0" w:start="48" w:end="48"/>
      <w:outlineLvl w:val="0"/>
    </w:pPr>
    <w:rPr>
      <w:rFonts w:ascii="Arial Black" w:hAnsi="Arial Black" w:cs="Arial Black"/>
      <w:spacing w:val="-15"/>
      <w:sz w:val="22"/>
      <w:vertAlign w:val="superscript"/>
    </w:rPr>
  </w:style>
  <w:style w:type="paragraph" w:styleId="Heading2">
    <w:name w:val="heading 2"/>
    <w:basedOn w:val="Normal"/>
    <w:next w:val="BodyText"/>
    <w:qFormat/>
    <w:pPr>
      <w:numPr>
        <w:ilvl w:val="1"/>
        <w:numId w:val="1"/>
      </w:numPr>
      <w:spacing w:before="0" w:after="120"/>
      <w:outlineLvl w:val="1"/>
    </w:pPr>
    <w:rPr>
      <w:rFonts w:ascii="Arial Black" w:hAnsi="Arial Black" w:cs="Arial Black"/>
      <w:spacing w:val="-8"/>
      <w:sz w:val="18"/>
    </w:rPr>
  </w:style>
  <w:style w:type="paragraph" w:styleId="Heading3">
    <w:name w:val="heading 3"/>
    <w:basedOn w:val="Normal"/>
    <w:next w:val="BodyText"/>
    <w:qFormat/>
    <w:pPr>
      <w:numPr>
        <w:ilvl w:val="2"/>
        <w:numId w:val="1"/>
      </w:numPr>
      <w:spacing w:before="0" w:after="120"/>
      <w:outlineLvl w:val="2"/>
    </w:pPr>
    <w:rPr>
      <w:i/>
      <w:sz w:val="24"/>
    </w:rPr>
  </w:style>
  <w:style w:type="paragraph" w:styleId="Heading4">
    <w:name w:val="heading 4"/>
    <w:basedOn w:val="Normal"/>
    <w:next w:val="BodyText"/>
    <w:qFormat/>
    <w:pPr>
      <w:keepNext w:val="true"/>
      <w:numPr>
        <w:ilvl w:val="3"/>
        <w:numId w:val="1"/>
      </w:numPr>
      <w:spacing w:before="360" w:after="360"/>
      <w:ind w:hanging="0" w:start="24" w:end="-48"/>
      <w:outlineLvl w:val="3"/>
    </w:pPr>
    <w:rPr>
      <w:spacing w:val="-30"/>
      <w:sz w:val="52"/>
    </w:rPr>
  </w:style>
  <w:style w:type="paragraph" w:styleId="Heading5">
    <w:name w:val="heading 5"/>
    <w:basedOn w:val="Normal"/>
    <w:next w:val="BodyText"/>
    <w:qFormat/>
    <w:pPr>
      <w:keepNext w:val="true"/>
      <w:numPr>
        <w:ilvl w:val="4"/>
        <w:numId w:val="1"/>
      </w:numPr>
      <w:pBdr>
        <w:top w:val="single" w:sz="6" w:space="3" w:color="FFFFFF"/>
        <w:left w:val="single" w:sz="6" w:space="3" w:color="FFFFFF"/>
        <w:bottom w:val="single" w:sz="6" w:space="3" w:color="FFFFFF"/>
        <w:right w:val="single" w:sz="6" w:space="3" w:color="FFFFFF"/>
      </w:pBdr>
      <w:shd w:fill="B2B2B2" w:val="clear"/>
      <w:ind w:hanging="0" w:start="60" w:end="0"/>
      <w:outlineLvl w:val="4"/>
    </w:pPr>
    <w:rPr>
      <w:rFonts w:ascii="Arial Black" w:hAnsi="Arial Black" w:cs="Arial Black"/>
      <w:color w:val="FFFFFF"/>
      <w:spacing w:val="-15"/>
      <w:sz w:val="24"/>
      <w:vertAlign w:val="superscript"/>
    </w:rPr>
  </w:style>
  <w:style w:type="paragraph" w:styleId="Heading6">
    <w:name w:val="heading 6"/>
    <w:basedOn w:val="Normal"/>
    <w:next w:val="BodyText"/>
    <w:qFormat/>
    <w:pPr>
      <w:numPr>
        <w:ilvl w:val="5"/>
        <w:numId w:val="1"/>
      </w:numPr>
      <w:spacing w:before="0" w:after="120"/>
      <w:jc w:val="both"/>
      <w:outlineLvl w:val="5"/>
    </w:pPr>
    <w:rPr>
      <w:rFonts w:ascii="Arial Black" w:hAnsi="Arial Black" w:cs="Arial Black"/>
      <w:spacing w:val="-8"/>
      <w:sz w:val="18"/>
    </w:rPr>
  </w:style>
  <w:style w:type="paragraph" w:styleId="Heading7">
    <w:name w:val="heading 7"/>
    <w:basedOn w:val="Normal"/>
    <w:next w:val="BodyText"/>
    <w:qFormat/>
    <w:pPr>
      <w:numPr>
        <w:ilvl w:val="6"/>
        <w:numId w:val="1"/>
      </w:numPr>
      <w:spacing w:before="0" w:after="360"/>
      <w:jc w:val="both"/>
      <w:outlineLvl w:val="6"/>
    </w:pPr>
    <w:rPr>
      <w:sz w:val="22"/>
    </w:rPr>
  </w:style>
  <w:style w:type="paragraph" w:styleId="Heading8">
    <w:name w:val="heading 8"/>
    <w:basedOn w:val="Normal"/>
    <w:next w:val="Normal"/>
    <w:qFormat/>
    <w:pPr>
      <w:numPr>
        <w:ilvl w:val="7"/>
        <w:numId w:val="1"/>
      </w:numPr>
      <w:spacing w:before="2540" w:after="0"/>
      <w:outlineLvl w:val="7"/>
    </w:pPr>
    <w:rPr>
      <w:i/>
      <w:spacing w:val="-10"/>
      <w:sz w:val="44"/>
    </w:rPr>
  </w:style>
  <w:style w:type="paragraph" w:styleId="Heading9">
    <w:name w:val="heading 9"/>
    <w:basedOn w:val="Normal"/>
    <w:next w:val="Normal"/>
    <w:qFormat/>
    <w:pPr>
      <w:keepNext w:val="true"/>
      <w:numPr>
        <w:ilvl w:val="8"/>
        <w:numId w:val="1"/>
      </w:numPr>
      <w:outlineLvl w:val="8"/>
    </w:pPr>
    <w:rPr>
      <w:b/>
      <w:color w:val="FFFFFF"/>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sz w:val="16"/>
    </w:rPr>
  </w:style>
  <w:style w:type="character" w:styleId="WW8Num17z0">
    <w:name w:val="WW8Num17z0"/>
    <w:qFormat/>
    <w:rPr>
      <w:rFonts w:ascii="Wingdings" w:hAnsi="Wingdings" w:cs="Wingdings"/>
      <w:sz w:val="16"/>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sz w:val="16"/>
    </w:rPr>
  </w:style>
  <w:style w:type="character" w:styleId="WW8Num20z0">
    <w:name w:val="WW8Num20z0"/>
    <w:qFormat/>
    <w:rPr>
      <w:rFonts w:ascii="Wingdings" w:hAnsi="Wingdings" w:cs="Wingdings"/>
      <w:sz w:val="16"/>
    </w:rPr>
  </w:style>
  <w:style w:type="character" w:styleId="WW8Num21z0">
    <w:name w:val="WW8Num21z0"/>
    <w:qFormat/>
    <w:rPr>
      <w:rFonts w:ascii="Wingdings" w:hAnsi="Wingdings" w:cs="Wingdings"/>
      <w:sz w:val="16"/>
    </w:rPr>
  </w:style>
  <w:style w:type="character" w:styleId="WW8Num22z0">
    <w:name w:val="WW8Num22z0"/>
    <w:qFormat/>
    <w:rPr>
      <w:rFonts w:ascii="Wingdings" w:hAnsi="Wingdings" w:cs="Wingdings"/>
      <w:sz w:val="16"/>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7z0">
    <w:name w:val="WW8Num27z0"/>
    <w:qFormat/>
    <w:rPr>
      <w:rFonts w:ascii="Wingdings" w:hAnsi="Wingdings" w:cs="Wingdings"/>
      <w:sz w:val="16"/>
    </w:rPr>
  </w:style>
  <w:style w:type="character" w:styleId="WW8Num28z0">
    <w:name w:val="WW8Num28z0"/>
    <w:qFormat/>
    <w:rPr>
      <w:rFonts w:ascii="Wingdings" w:hAnsi="Wingdings" w:cs="Wingdings"/>
      <w:sz w:val="16"/>
    </w:rPr>
  </w:style>
  <w:style w:type="character" w:styleId="WW8Num29z0">
    <w:name w:val="WW8Num29z0"/>
    <w:qFormat/>
    <w:rPr>
      <w:rFonts w:ascii="Wingdings" w:hAnsi="Wingdings" w:cs="Wingdings"/>
      <w:sz w:val="16"/>
    </w:rPr>
  </w:style>
  <w:style w:type="character" w:styleId="WW8Num30z0">
    <w:name w:val="WW8Num30z0"/>
    <w:qFormat/>
    <w:rPr>
      <w:rFonts w:ascii="Wingdings" w:hAnsi="Wingdings" w:cs="Wingdings"/>
      <w:sz w:val="16"/>
    </w:rPr>
  </w:style>
  <w:style w:type="character" w:styleId="WW8Num31z0">
    <w:name w:val="WW8Num31z0"/>
    <w:qFormat/>
    <w:rPr>
      <w:rFonts w:ascii="Wingdings" w:hAnsi="Wingdings" w:cs="Wingdings"/>
      <w:sz w:val="16"/>
    </w:rPr>
  </w:style>
  <w:style w:type="character" w:styleId="WW8Num32z0">
    <w:name w:val="WW8Num32z0"/>
    <w:qFormat/>
    <w:rPr>
      <w:rFonts w:ascii="Wingdings" w:hAnsi="Wingdings" w:cs="Wingdings"/>
      <w:sz w:val="16"/>
    </w:rPr>
  </w:style>
  <w:style w:type="character" w:styleId="WW8Num33z0">
    <w:name w:val="WW8Num33z0"/>
    <w:qFormat/>
    <w:rPr>
      <w:rFonts w:ascii="Wingdings" w:hAnsi="Wingdings" w:cs="Wingdings"/>
      <w:sz w:val="16"/>
    </w:rPr>
  </w:style>
  <w:style w:type="character" w:styleId="WW8Num34z0">
    <w:name w:val="WW8Num34z0"/>
    <w:qFormat/>
    <w:rPr>
      <w:rFonts w:ascii="Wingdings" w:hAnsi="Wingdings" w:cs="Wingdings"/>
      <w:sz w:val="16"/>
    </w:rPr>
  </w:style>
  <w:style w:type="character" w:styleId="WW8Num35z0">
    <w:name w:val="WW8Num35z0"/>
    <w:qFormat/>
    <w:rPr>
      <w:rFonts w:ascii="Wingdings" w:hAnsi="Wingdings" w:cs="Wingdings"/>
      <w:sz w:val="16"/>
    </w:rPr>
  </w:style>
  <w:style w:type="character" w:styleId="WW8Num36z0">
    <w:name w:val="WW8Num36z0"/>
    <w:qFormat/>
    <w:rPr>
      <w:rFonts w:ascii="Wingdings" w:hAnsi="Wingdings" w:cs="Wingdings"/>
      <w:sz w:val="16"/>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Wingdings" w:hAnsi="Wingdings" w:cs="Wingdings"/>
      <w:sz w:val="16"/>
    </w:rPr>
  </w:style>
  <w:style w:type="character" w:styleId="WW8Num40z0">
    <w:name w:val="WW8Num40z0"/>
    <w:qFormat/>
    <w:rPr>
      <w:rFonts w:ascii="Wingdings" w:hAnsi="Wingdings" w:cs="Wingdings"/>
      <w:sz w:val="16"/>
    </w:rPr>
  </w:style>
  <w:style w:type="character" w:styleId="WW8Num41z0">
    <w:name w:val="WW8Num41z0"/>
    <w:qFormat/>
    <w:rPr>
      <w:rFonts w:ascii="Wingdings" w:hAnsi="Wingdings" w:cs="Wingdings"/>
      <w:sz w:val="16"/>
    </w:rPr>
  </w:style>
  <w:style w:type="character" w:styleId="WW8Num42z0">
    <w:name w:val="WW8Num42z0"/>
    <w:qFormat/>
    <w:rPr>
      <w:rFonts w:ascii="Wingdings" w:hAnsi="Wingdings" w:cs="Wingdings"/>
      <w:sz w:val="16"/>
    </w:rPr>
  </w:style>
  <w:style w:type="character" w:styleId="WW8Num43z0">
    <w:name w:val="WW8Num43z0"/>
    <w:qFormat/>
    <w:rPr>
      <w:rFonts w:ascii="Wingdings" w:hAnsi="Wingdings" w:cs="Wingdings"/>
      <w:sz w:val="16"/>
    </w:rPr>
  </w:style>
  <w:style w:type="character" w:styleId="WW8Num44z0">
    <w:name w:val="WW8Num44z0"/>
    <w:qFormat/>
    <w:rPr>
      <w:rFonts w:ascii="Wingdings" w:hAnsi="Wingdings" w:cs="Wingdings"/>
      <w:sz w:val="16"/>
    </w:rPr>
  </w:style>
  <w:style w:type="character" w:styleId="WW8Num45z0">
    <w:name w:val="WW8Num45z0"/>
    <w:qFormat/>
    <w:rPr>
      <w:rFonts w:ascii="Wingdings" w:hAnsi="Wingdings" w:cs="Wingdings"/>
      <w:sz w:val="16"/>
    </w:rPr>
  </w:style>
  <w:style w:type="character" w:styleId="WW8Num46z0">
    <w:name w:val="WW8Num46z0"/>
    <w:qFormat/>
    <w:rPr>
      <w:rFonts w:ascii="Wingdings" w:hAnsi="Wingdings" w:cs="Wingdings"/>
      <w:sz w:val="16"/>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sz w:val="16"/>
    </w:rPr>
  </w:style>
  <w:style w:type="character" w:styleId="WW8Num49z0">
    <w:name w:val="WW8Num49z0"/>
    <w:qFormat/>
    <w:rPr>
      <w:rFonts w:ascii="Wingdings" w:hAnsi="Wingdings" w:cs="Wingdings"/>
      <w:sz w:val="16"/>
    </w:rPr>
  </w:style>
  <w:style w:type="character" w:styleId="WW8Num50z0">
    <w:name w:val="WW8Num50z0"/>
    <w:qFormat/>
    <w:rPr>
      <w:rFonts w:ascii="Wingdings" w:hAnsi="Wingdings" w:cs="Wingdings"/>
      <w:sz w:val="16"/>
    </w:rPr>
  </w:style>
  <w:style w:type="character" w:styleId="WW8Num51z0">
    <w:name w:val="WW8Num51z0"/>
    <w:qFormat/>
    <w:rPr>
      <w:rFonts w:ascii="Wingdings" w:hAnsi="Wingdings" w:cs="Wingdings"/>
      <w:sz w:val="16"/>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sz w:val="16"/>
    </w:rPr>
  </w:style>
  <w:style w:type="character" w:styleId="WW8Num54z0">
    <w:name w:val="WW8Num54z0"/>
    <w:qFormat/>
    <w:rPr>
      <w:rFonts w:ascii="Wingdings" w:hAnsi="Wingdings" w:cs="Wingdings"/>
      <w:sz w:val="16"/>
    </w:rPr>
  </w:style>
  <w:style w:type="character" w:styleId="WW8Num55z0">
    <w:name w:val="WW8Num55z0"/>
    <w:qFormat/>
    <w:rPr>
      <w:rFonts w:ascii="Wingdings" w:hAnsi="Wingdings" w:cs="Wingdings"/>
      <w:sz w:val="16"/>
    </w:rPr>
  </w:style>
  <w:style w:type="character" w:styleId="WW8Num56z0">
    <w:name w:val="WW8Num56z0"/>
    <w:qFormat/>
    <w:rPr>
      <w:rFonts w:ascii="Wingdings" w:hAnsi="Wingdings" w:cs="Wingdings"/>
      <w:sz w:val="16"/>
    </w:rPr>
  </w:style>
  <w:style w:type="character" w:styleId="WW8Num57z0">
    <w:name w:val="WW8Num57z0"/>
    <w:qFormat/>
    <w:rPr>
      <w:rFonts w:ascii="Wingdings" w:hAnsi="Wingdings" w:cs="Wingdings"/>
      <w:sz w:val="16"/>
    </w:rPr>
  </w:style>
  <w:style w:type="character" w:styleId="WW8Num58z0">
    <w:name w:val="WW8Num58z0"/>
    <w:qFormat/>
    <w:rPr>
      <w:rFonts w:ascii="Wingdings" w:hAnsi="Wingdings" w:cs="Wingdings"/>
      <w:sz w:val="16"/>
    </w:rPr>
  </w:style>
  <w:style w:type="character" w:styleId="WW8Num59z0">
    <w:name w:val="WW8Num59z0"/>
    <w:qFormat/>
    <w:rPr>
      <w:rFonts w:ascii="Wingdings" w:hAnsi="Wingdings" w:cs="Wingdings"/>
      <w:sz w:val="16"/>
    </w:rPr>
  </w:style>
  <w:style w:type="character" w:styleId="WW8Num60z0">
    <w:name w:val="WW8Num60z0"/>
    <w:qFormat/>
    <w:rPr>
      <w:rFonts w:ascii="Wingdings" w:hAnsi="Wingdings" w:cs="Wingdings"/>
      <w:sz w:val="16"/>
    </w:rPr>
  </w:style>
  <w:style w:type="character" w:styleId="DefaultParagraphFont">
    <w:name w:val="Default Paragraph Font"/>
    <w:qFormat/>
    <w:rPr/>
  </w:style>
  <w:style w:type="character" w:styleId="PageNumber">
    <w:name w:val="page number"/>
    <w:rPr/>
  </w:style>
  <w:style w:type="character" w:styleId="Emphasis">
    <w:name w:val="Emphasis"/>
    <w:basedOn w:val="DefaultParagraphFont"/>
    <w:qFormat/>
    <w:rPr>
      <w:rFonts w:ascii="Arial Black" w:hAnsi="Arial Black" w:cs="Arial Black"/>
      <w:spacing w:val="-8"/>
      <w:sz w:val="18"/>
    </w:rPr>
  </w:style>
  <w:style w:type="character" w:styleId="Lead-inEmphasis">
    <w:name w:val="Lead-in Emphasis"/>
    <w:basedOn w:val="DefaultParagraphFont"/>
    <w:qFormat/>
    <w:rPr>
      <w:caps/>
      <w:spacing w:val="20"/>
      <w:sz w:val="16"/>
    </w:rPr>
  </w:style>
  <w:style w:type="character" w:styleId="Hyperlink">
    <w:name w:val="Hyperlink"/>
    <w:basedOn w:val="DefaultParagraphFont"/>
    <w:rPr>
      <w:color w:val="0000FF"/>
      <w:u w:val="single"/>
    </w:rPr>
  </w:style>
  <w:style w:type="paragraph" w:styleId="Heading">
    <w:name w:val="Heading"/>
    <w:basedOn w:val="Normal"/>
    <w:next w:val="Subtitle"/>
    <w:qFormat/>
    <w:pPr>
      <w:pBdr>
        <w:top w:val="single" w:sz="48" w:space="24" w:color="C0C0C0"/>
      </w:pBdr>
      <w:spacing w:lineRule="exact" w:line="380" w:before="40" w:after="20"/>
    </w:pPr>
    <w:rPr>
      <w:rFonts w:ascii="Arial Black" w:hAnsi="Arial Black" w:cs="Arial Black"/>
      <w:spacing w:val="-25"/>
      <w:kern w:val="2"/>
      <w:sz w:val="36"/>
    </w:rPr>
  </w:style>
  <w:style w:type="paragraph" w:styleId="BodyText">
    <w:name w:val="Body Text"/>
    <w:basedOn w:val="Normal"/>
    <w:pPr>
      <w:ind w:firstLine="240" w:start="0" w:end="0"/>
      <w:jc w:val="both"/>
    </w:pPr>
    <w:rPr>
      <w:sz w:val="22"/>
    </w:rPr>
  </w:style>
  <w:style w:type="paragraph" w:styleId="List">
    <w:name w:val="List"/>
    <w:basedOn w:val="Normal"/>
    <w:pPr>
      <w:numPr>
        <w:ilvl w:val="0"/>
        <w:numId w:val="11"/>
      </w:numPr>
      <w:spacing w:before="0" w:after="120"/>
      <w:jc w:val="both"/>
    </w:pPr>
    <w:rPr>
      <w:sz w:val="22"/>
    </w:rPr>
  </w:style>
  <w:style w:type="paragraph" w:styleId="Caption">
    <w:name w:val="caption"/>
    <w:basedOn w:val="Normal"/>
    <w:next w:val="BodyText"/>
    <w:qFormat/>
    <w:pPr>
      <w:spacing w:lineRule="atLeast" w:line="200" w:before="0" w:after="120"/>
      <w:jc w:val="both"/>
    </w:pPr>
    <w:rPr>
      <w:rFonts w:ascii="Arial Black" w:hAnsi="Arial Black" w:cs="Arial Black"/>
      <w:sz w:val="1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pacing w:val="-4"/>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240" w:leader="none"/>
      </w:tabs>
      <w:spacing w:before="0" w:after="60"/>
    </w:pPr>
    <w:rPr>
      <w:caps/>
      <w:sz w:val="18"/>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60"/>
      <w:ind w:firstLine="240" w:start="0" w:end="0"/>
      <w:jc w:val="both"/>
    </w:pPr>
    <w:rPr>
      <w:sz w:val="22"/>
    </w:rPr>
  </w:style>
  <w:style w:type="paragraph" w:styleId="BodyTextKeep">
    <w:name w:val="Body Text Keep"/>
    <w:basedOn w:val="BodyText"/>
    <w:next w:val="BodyText"/>
    <w:qFormat/>
    <w:pPr>
      <w:spacing w:before="0" w:after="320"/>
    </w:pPr>
    <w:rPr/>
  </w:style>
  <w:style w:type="paragraph" w:styleId="ListBullet21">
    <w:name w:val="List Bullet 21"/>
    <w:basedOn w:val="Normal"/>
    <w:qFormat/>
    <w:pPr>
      <w:numPr>
        <w:ilvl w:val="0"/>
        <w:numId w:val="9"/>
      </w:numPr>
      <w:ind w:hanging="240" w:start="240" w:end="0"/>
    </w:pPr>
    <w:rPr>
      <w:rFonts w:ascii="Arial Black" w:hAnsi="Arial Black" w:cs="Arial Black"/>
      <w:spacing w:val="-10"/>
      <w:sz w:val="18"/>
    </w:rPr>
  </w:style>
  <w:style w:type="paragraph" w:styleId="ListBullet2">
    <w:name w:val="List Bullet 2"/>
    <w:basedOn w:val="Normal"/>
    <w:pPr>
      <w:numPr>
        <w:ilvl w:val="0"/>
        <w:numId w:val="10"/>
      </w:numPr>
      <w:spacing w:lineRule="atLeast" w:line="300"/>
    </w:pPr>
    <w:rPr>
      <w:rFonts w:ascii="Arial Black" w:hAnsi="Arial Black" w:cs="Arial Black"/>
      <w:spacing w:val="-10"/>
      <w:sz w:val="18"/>
    </w:rPr>
  </w:style>
  <w:style w:type="paragraph" w:styleId="DocumentLabel">
    <w:name w:val="Document Label"/>
    <w:basedOn w:val="Normal"/>
    <w:next w:val="BodyText"/>
    <w:qFormat/>
    <w:pPr>
      <w:pBdr>
        <w:top w:val="single" w:sz="6" w:space="6" w:color="000000"/>
        <w:bottom w:val="single" w:sz="6" w:space="6" w:color="000000"/>
      </w:pBdr>
      <w:spacing w:lineRule="exact" w:line="1500" w:before="120" w:after="0"/>
      <w:ind w:hanging="0" w:start="36" w:end="0"/>
    </w:pPr>
    <w:rPr>
      <w:rFonts w:ascii="Arial Black" w:hAnsi="Arial Black" w:cs="Arial Black"/>
      <w:color w:val="808080"/>
      <w:spacing w:val="-110"/>
      <w:sz w:val="144"/>
    </w:rPr>
  </w:style>
  <w:style w:type="paragraph" w:styleId="Picture2">
    <w:name w:val="Picture 2"/>
    <w:basedOn w:val="Normal"/>
    <w:next w:val="BodyText"/>
    <w:qFormat/>
    <w:pPr/>
    <w:rPr>
      <w:spacing w:val="-25"/>
      <w:sz w:val="48"/>
    </w:rPr>
  </w:style>
  <w:style w:type="paragraph" w:styleId="Subtitle">
    <w:name w:val="Subtitle"/>
    <w:basedOn w:val="Normal"/>
    <w:next w:val="BodyText"/>
    <w:qFormat/>
    <w:pPr>
      <w:spacing w:lineRule="atLeast" w:line="280" w:before="0" w:after="480"/>
    </w:pPr>
    <w:rPr>
      <w:i/>
      <w:spacing w:val="-5"/>
      <w:sz w:val="28"/>
    </w:rPr>
  </w:style>
  <w:style w:type="paragraph" w:styleId="Picture">
    <w:name w:val="Picture"/>
    <w:basedOn w:val="Normal"/>
    <w:next w:val="Caption"/>
    <w:qFormat/>
    <w:pPr>
      <w:spacing w:lineRule="atLeast" w:line="200" w:before="0" w:after="160"/>
      <w:jc w:val="both"/>
    </w:pPr>
    <w:rPr/>
  </w:style>
  <w:style w:type="paragraph" w:styleId="ListBullet">
    <w:name w:val="List Bullet"/>
    <w:basedOn w:val="Normal"/>
    <w:qFormat/>
    <w:pPr>
      <w:numPr>
        <w:ilvl w:val="0"/>
        <w:numId w:val="12"/>
      </w:numPr>
      <w:spacing w:before="0" w:after="120"/>
      <w:ind w:hanging="240" w:start="240" w:end="0"/>
      <w:jc w:val="both"/>
    </w:pPr>
    <w:rPr>
      <w:sz w:val="22"/>
    </w:rPr>
  </w:style>
  <w:style w:type="paragraph" w:styleId="ReturnAddress">
    <w:name w:val="Return Address"/>
    <w:basedOn w:val="Normal"/>
    <w:qFormat/>
    <w:pPr/>
    <w:rPr>
      <w:sz w:val="22"/>
    </w:rPr>
  </w:style>
  <w:style w:type="paragraph" w:styleId="BodyText2">
    <w:name w:val="Body Text 2"/>
    <w:basedOn w:val="Normal"/>
    <w:qFormat/>
    <w:pPr/>
    <w:rPr>
      <w:color w:val="FF0000"/>
    </w:rPr>
  </w:style>
  <w:style w:type="paragraph" w:styleId="BodyTextIndent2">
    <w:name w:val="Body Text Indent 2"/>
    <w:basedOn w:val="Normal"/>
    <w:qFormat/>
    <w:pPr>
      <w:ind w:hanging="0" w:start="72" w:end="0"/>
    </w:pPr>
    <w:rPr/>
  </w:style>
  <w:style w:type="paragraph" w:styleId="BodyTextIndent3">
    <w:name w:val="Body Text Indent 3"/>
    <w:basedOn w:val="Normal"/>
    <w:qFormat/>
    <w:pPr>
      <w:ind w:hanging="0" w:start="72" w:end="0"/>
    </w:pPr>
    <w:rPr>
      <w:color w:val="00008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2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2000-12-01T11:18:00Z</dcterms:created>
  <dc:creator>gkoepke</dc:creator>
  <dc:description/>
  <dc:language>en-CA</dc:language>
  <cp:lastModifiedBy>gkoepke</cp:lastModifiedBy>
  <cp:lastPrinted>2000-12-04T09:47:00Z</cp:lastPrinted>
  <dcterms:modified xsi:type="dcterms:W3CDTF">2000-12-04T13:19:00Z</dcterms:modified>
  <cp:revision>39</cp:revision>
  <dc:subject/>
  <dc:title/>
</cp:coreProperties>
</file>