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xlsx" ContentType="application/vnd.openxmlformats-officedocument.spreadsheetml.sheet"/>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object w:dxaOrig="1019" w:dyaOrig="8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86.4pt;margin-top:-28.8pt;width:79.2pt;height:64.8pt;mso-wrap-distance-left:9.05pt;mso-wrap-distance-right:9.05pt;mso-position-horizontal-relative:text;mso-position-vertical-relative:text" filled="f" o:ole="">
            <v:imagedata r:id="rId3" o:title=""/>
            <w10:wrap type="topAndBottom"/>
          </v:shape>
          <o:OLEObject Type="Embed" ProgID="" ShapeID="ole_rId2" DrawAspect="Content" ObjectID="_1269427749" r:id="rId2"/>
        </w:object>
      </w:r>
      <w:r>
        <mc:AlternateContent>
          <mc:Choice Requires="wps">
            <w:drawing>
              <wp:anchor behindDoc="0" distT="0" distB="0" distL="114935" distR="114935" simplePos="0" locked="0" layoutInCell="1" allowOverlap="1" relativeHeight="3">
                <wp:simplePos x="0" y="0"/>
                <wp:positionH relativeFrom="column">
                  <wp:posOffset>3830955</wp:posOffset>
                </wp:positionH>
                <wp:positionV relativeFrom="paragraph">
                  <wp:posOffset>-283845</wp:posOffset>
                </wp:positionV>
                <wp:extent cx="2579370" cy="659130"/>
                <wp:effectExtent l="0" t="0" r="0" b="0"/>
                <wp:wrapNone/>
                <wp:docPr id="1" name="Frame1"/>
                <a:graphic xmlns:a="http://schemas.openxmlformats.org/drawingml/2006/main">
                  <a:graphicData uri="http://schemas.microsoft.com/office/word/2010/wordprocessingShape">
                    <wps:wsp>
                      <wps:cNvSpPr txBox="1"/>
                      <wps:spPr>
                        <a:xfrm>
                          <a:off x="0" y="0"/>
                          <a:ext cx="2579370" cy="659130"/>
                        </a:xfrm>
                        <a:prstGeom prst="rect"/>
                        <a:solidFill>
                          <a:srgbClr val="FFFFFF"/>
                        </a:solidFill>
                        <a:ln w="9525">
                          <a:solidFill>
                            <a:srgbClr val="FF0000"/>
                          </a:solidFill>
                        </a:ln>
                      </wps:spPr>
                      <wps:txbx>
                        <w:txbxContent>
                          <w:p>
                            <w:pPr>
                              <w:pStyle w:val="Normal"/>
                              <w:rPr>
                                <w:b/>
                                <w:color w:val="808080"/>
                                <w:sz w:val="24"/>
                              </w:rPr>
                            </w:pPr>
                            <w:r>
                              <w:rPr>
                                <w:b/>
                                <w:color w:val="808080"/>
                                <w:sz w:val="24"/>
                              </w:rPr>
                              <w:t>ENA Research Group</w:t>
                            </w:r>
                          </w:p>
                          <w:p>
                            <w:pPr>
                              <w:pStyle w:val="Heading9"/>
                              <w:ind w:hanging="0" w:start="0"/>
                              <w:rPr>
                                <w:color w:val="808080"/>
                                <w:sz w:val="24"/>
                              </w:rPr>
                            </w:pPr>
                            <w:r>
                              <w:rPr>
                                <w:color w:val="808080"/>
                                <w:sz w:val="24"/>
                              </w:rPr>
                              <w:t>Country Risk and Foreign Exchange</w:t>
                            </w:r>
                          </w:p>
                          <w:p>
                            <w:pPr>
                              <w:pStyle w:val="Normal"/>
                              <w:rPr>
                                <w:color w:val="808080"/>
                              </w:rPr>
                            </w:pPr>
                            <w:r>
                              <w:rPr>
                                <w:color w:val="808080"/>
                              </w:rPr>
                              <w:t>Maureen Raymond-Castañeda</w:t>
                            </w:r>
                          </w:p>
                          <w:p>
                            <w:pPr>
                              <w:pStyle w:val="Normal"/>
                              <w:rPr>
                                <w:color w:val="808080"/>
                                <w:sz w:val="24"/>
                              </w:rPr>
                            </w:pPr>
                            <w:r>
                              <w:rPr>
                                <w:color w:val="808080"/>
                                <w:sz w:val="24"/>
                              </w:rPr>
                            </w:r>
                          </w:p>
                        </w:txbxContent>
                      </wps:txbx>
                      <wps:bodyPr anchor="t" lIns="91440" tIns="45720" rIns="91440" bIns="45720">
                        <a:noAutofit/>
                      </wps:bodyPr>
                    </wps:wsp>
                  </a:graphicData>
                </a:graphic>
              </wp:anchor>
            </w:drawing>
          </mc:Choice>
          <mc:Fallback>
            <w:pict>
              <v:rect fillcolor="#FFFFFF" strokecolor="#FF0000" strokeweight="0pt" style="position:absolute;rotation:-0;width:203.1pt;height:51.9pt;mso-wrap-distance-left:9.05pt;mso-wrap-distance-right:9.05pt;mso-wrap-distance-top:0pt;mso-wrap-distance-bottom:0pt;margin-top:-22.35pt;mso-position-vertical-relative:text;margin-left:301.65pt;mso-position-horizontal-relative:text">
                <v:textbox>
                  <w:txbxContent>
                    <w:p>
                      <w:pPr>
                        <w:pStyle w:val="Normal"/>
                        <w:rPr>
                          <w:b/>
                          <w:color w:val="808080"/>
                          <w:sz w:val="24"/>
                        </w:rPr>
                      </w:pPr>
                      <w:r>
                        <w:rPr>
                          <w:b/>
                          <w:color w:val="808080"/>
                          <w:sz w:val="24"/>
                        </w:rPr>
                        <w:t>ENA Research Group</w:t>
                      </w:r>
                    </w:p>
                    <w:p>
                      <w:pPr>
                        <w:pStyle w:val="Heading9"/>
                        <w:ind w:hanging="0" w:start="0"/>
                        <w:rPr>
                          <w:color w:val="808080"/>
                          <w:sz w:val="24"/>
                        </w:rPr>
                      </w:pPr>
                      <w:r>
                        <w:rPr>
                          <w:color w:val="808080"/>
                          <w:sz w:val="24"/>
                        </w:rPr>
                        <w:t>Country Risk and Foreign Exchange</w:t>
                      </w:r>
                    </w:p>
                    <w:p>
                      <w:pPr>
                        <w:pStyle w:val="Normal"/>
                        <w:rPr>
                          <w:color w:val="808080"/>
                        </w:rPr>
                      </w:pPr>
                      <w:r>
                        <w:rPr>
                          <w:color w:val="808080"/>
                        </w:rPr>
                        <w:t>Maureen Raymond-Castañeda</w:t>
                      </w:r>
                    </w:p>
                    <w:p>
                      <w:pPr>
                        <w:pStyle w:val="Normal"/>
                        <w:rPr>
                          <w:color w:val="808080"/>
                          <w:sz w:val="24"/>
                        </w:rPr>
                      </w:pPr>
                      <w:r>
                        <w:rPr>
                          <w:color w:val="808080"/>
                          <w:sz w:val="24"/>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-104140</wp:posOffset>
                </wp:positionH>
                <wp:positionV relativeFrom="paragraph">
                  <wp:posOffset>-287020</wp:posOffset>
                </wp:positionV>
                <wp:extent cx="3865880" cy="665480"/>
                <wp:effectExtent l="0" t="0" r="0" b="0"/>
                <wp:wrapNone/>
                <wp:docPr id="2" name="Frame2"/>
                <a:graphic xmlns:a="http://schemas.openxmlformats.org/drawingml/2006/main">
                  <a:graphicData uri="http://schemas.microsoft.com/office/word/2010/wordprocessingShape">
                    <wps:wsp>
                      <wps:cNvSpPr txBox="1"/>
                      <wps:spPr>
                        <a:xfrm>
                          <a:off x="0" y="0"/>
                          <a:ext cx="3865880" cy="665480"/>
                        </a:xfrm>
                        <a:prstGeom prst="rect"/>
                        <a:solidFill>
                          <a:srgbClr val="808080"/>
                        </a:solidFill>
                        <a:ln w="12700">
                          <a:solidFill>
                            <a:srgbClr val="FF0000"/>
                          </a:solidFill>
                        </a:ln>
                      </wps:spPr>
                      <wps:txbx>
                        <w:txbxContent>
                          <w:p>
                            <w:pPr>
                              <w:pStyle w:val="Normal"/>
                              <w:rPr>
                                <w:b/>
                                <w:color w:val="FFFFFF"/>
                                <w:sz w:val="28"/>
                              </w:rPr>
                            </w:pPr>
                            <w:r>
                              <w:rPr>
                                <w:b/>
                                <w:color w:val="FFFFFF"/>
                                <w:sz w:val="28"/>
                              </w:rPr>
                              <w:t>INTERNATIONAL ECONOMIC REVIEW</w:t>
                            </w:r>
                          </w:p>
                          <w:p>
                            <w:pPr>
                              <w:pStyle w:val="Normal"/>
                              <w:rPr>
                                <w:b/>
                                <w:color w:val="FFFFFF"/>
                                <w:sz w:val="24"/>
                              </w:rPr>
                            </w:pPr>
                            <w:r>
                              <w:rPr>
                                <w:b/>
                                <w:color w:val="FFFFFF"/>
                                <w:sz w:val="24"/>
                              </w:rPr>
                            </w:r>
                          </w:p>
                          <w:p>
                            <w:pPr>
                              <w:pStyle w:val="Normal"/>
                              <w:rPr>
                                <w:color w:val="808080"/>
                                <w:sz w:val="24"/>
                              </w:rPr>
                            </w:pPr>
                            <w:r>
                              <w:rPr>
                                <w:b/>
                                <w:color w:val="FFFFFF"/>
                                <w:sz w:val="24"/>
                              </w:rPr>
                              <w:t>Published on:  13 OCTOBER 2000</w:t>
                            </w:r>
                          </w:p>
                          <w:p>
                            <w:pPr>
                              <w:pStyle w:val="Normal"/>
                              <w:rPr>
                                <w:b/>
                                <w:color w:val="808080"/>
                                <w:sz w:val="24"/>
                              </w:rPr>
                            </w:pPr>
                            <w:r>
                              <w:rPr>
                                <w:b/>
                                <w:color w:val="808080"/>
                                <w:sz w:val="24"/>
                              </w:rPr>
                            </w:r>
                          </w:p>
                        </w:txbxContent>
                      </wps:txbx>
                      <wps:bodyPr anchor="t" lIns="91440" tIns="45720" rIns="91440" bIns="45720">
                        <a:noAutofit/>
                      </wps:bodyPr>
                    </wps:wsp>
                  </a:graphicData>
                </a:graphic>
              </wp:anchor>
            </w:drawing>
          </mc:Choice>
          <mc:Fallback>
            <w:pict>
              <v:rect fillcolor="#808080" strokecolor="#FF0000" strokeweight="1pt" style="position:absolute;rotation:-0;width:304.4pt;height:52.4pt;mso-wrap-distance-left:9.05pt;mso-wrap-distance-right:9.05pt;mso-wrap-distance-top:0pt;mso-wrap-distance-bottom:0pt;margin-top:-22.6pt;mso-position-vertical-relative:text;margin-left:-8.2pt;mso-position-horizontal-relative:text">
                <v:textbox>
                  <w:txbxContent>
                    <w:p>
                      <w:pPr>
                        <w:pStyle w:val="Normal"/>
                        <w:rPr>
                          <w:b/>
                          <w:color w:val="FFFFFF"/>
                          <w:sz w:val="28"/>
                        </w:rPr>
                      </w:pPr>
                      <w:r>
                        <w:rPr>
                          <w:b/>
                          <w:color w:val="FFFFFF"/>
                          <w:sz w:val="28"/>
                        </w:rPr>
                        <w:t>INTERNATIONAL ECONOMIC REVIEW</w:t>
                      </w:r>
                    </w:p>
                    <w:p>
                      <w:pPr>
                        <w:pStyle w:val="Normal"/>
                        <w:rPr>
                          <w:b/>
                          <w:color w:val="FFFFFF"/>
                          <w:sz w:val="24"/>
                        </w:rPr>
                      </w:pPr>
                      <w:r>
                        <w:rPr>
                          <w:b/>
                          <w:color w:val="FFFFFF"/>
                          <w:sz w:val="24"/>
                        </w:rPr>
                      </w:r>
                    </w:p>
                    <w:p>
                      <w:pPr>
                        <w:pStyle w:val="Normal"/>
                        <w:rPr>
                          <w:color w:val="808080"/>
                          <w:sz w:val="24"/>
                        </w:rPr>
                      </w:pPr>
                      <w:r>
                        <w:rPr>
                          <w:b/>
                          <w:color w:val="FFFFFF"/>
                          <w:sz w:val="24"/>
                        </w:rPr>
                        <w:t>Published on:  13 OCTOBER 2000</w:t>
                      </w:r>
                    </w:p>
                    <w:p>
                      <w:pPr>
                        <w:pStyle w:val="Normal"/>
                        <w:rPr>
                          <w:b/>
                          <w:color w:val="808080"/>
                          <w:sz w:val="24"/>
                        </w:rPr>
                      </w:pPr>
                      <w:r>
                        <w:rPr>
                          <w:b/>
                          <w:color w:val="808080"/>
                          <w:sz w:val="24"/>
                        </w:rPr>
                      </w:r>
                    </w:p>
                  </w:txbxContent>
                </v:textbox>
                <w10:wrap type="none"/>
              </v:rect>
            </w:pict>
          </mc:Fallback>
        </mc:AlternateContent>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BFBFBF" w:val="clear"/>
          </w:tcPr>
          <w:p>
            <w:pPr>
              <w:pStyle w:val="Normal"/>
              <w:rPr>
                <w:b/>
                <w:sz w:val="28"/>
              </w:rPr>
            </w:pPr>
            <w:r>
              <w:rPr>
                <w:b/>
                <w:sz w:val="28"/>
              </w:rPr>
              <w:t>Economic and Central Bank Monitor</w:t>
            </w:r>
          </w:p>
        </w:tc>
      </w:tr>
      <w:tr>
        <w:trPr/>
        <w:tc>
          <w:tcPr>
            <w:tcW w:w="10188" w:type="dxa"/>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rFonts w:eastAsia="Garamond"/>
                <w:i/>
                <w:sz w:val="22"/>
              </w:rPr>
              <w:t xml:space="preserve"> </w:t>
            </w:r>
            <w:r>
              <w:rPr>
                <w:i/>
                <w:sz w:val="22"/>
              </w:rPr>
              <w:t xml:space="preserve">United States </w:t>
            </w:r>
          </w:p>
        </w:tc>
      </w:tr>
      <w:tr>
        <w:trPr/>
        <w:tc>
          <w:tcPr>
            <w:tcW w:w="10188" w:type="dxa"/>
            <w:tcBorders>
              <w:top w:val="single" w:sz="4" w:space="0" w:color="000000"/>
              <w:start w:val="single" w:sz="4" w:space="0" w:color="000000"/>
              <w:end w:val="single" w:sz="4" w:space="0" w:color="000000"/>
            </w:tcBorders>
          </w:tcPr>
          <w:p>
            <w:pPr>
              <w:pStyle w:val="Normal"/>
              <w:numPr>
                <w:ilvl w:val="0"/>
                <w:numId w:val="5"/>
              </w:numPr>
              <w:rPr>
                <w:sz w:val="22"/>
              </w:rPr>
            </w:pPr>
            <w:r>
              <w:rPr>
                <w:b/>
                <w:sz w:val="22"/>
              </w:rPr>
              <w:t>Equity Markets</w:t>
            </w:r>
            <w:r>
              <w:rPr>
                <w:sz w:val="22"/>
              </w:rPr>
              <w:t xml:space="preserve">: Serious concern about a possible outbreak of war in the Middle East unleashed a flight to quality in the U.S. securities markets and a spike in oil prices yesterday.   Quiet overnight in the Middle East has brought calm to the financial markets today.  However, the situation in the Middle East remains very fragile.  Earnings warnings this week from companies such as Home Depot and Motorola’s warning of slowing growth in global demand for mobile telephones have also heightened investor concern that the technology boom of the last few years is waning.   </w:t>
            </w:r>
          </w:p>
          <w:p>
            <w:pPr>
              <w:pStyle w:val="Normal"/>
              <w:numPr>
                <w:ilvl w:val="0"/>
                <w:numId w:val="5"/>
              </w:numPr>
              <w:rPr>
                <w:sz w:val="22"/>
              </w:rPr>
            </w:pPr>
            <w:r>
              <w:rPr>
                <w:b/>
                <w:sz w:val="22"/>
              </w:rPr>
              <w:t>Inflation</w:t>
            </w:r>
            <w:r>
              <w:rPr>
                <w:sz w:val="22"/>
              </w:rPr>
              <w:t xml:space="preserve">: Rising crude prices in response to violence in the West Bank that threaten supply disruptions and a suspected terrorist attack on an U.S. naval ship in Yemen will fuel inflationary fears.  </w:t>
            </w:r>
          </w:p>
          <w:p>
            <w:pPr>
              <w:pStyle w:val="Normal"/>
              <w:numPr>
                <w:ilvl w:val="0"/>
                <w:numId w:val="5"/>
              </w:numPr>
              <w:rPr>
                <w:sz w:val="22"/>
              </w:rPr>
            </w:pPr>
            <w:r>
              <w:rPr>
                <w:b/>
                <w:sz w:val="22"/>
              </w:rPr>
              <w:t>U.S. PPI</w:t>
            </w:r>
            <w:r>
              <w:rPr>
                <w:sz w:val="22"/>
              </w:rPr>
              <w:t xml:space="preserve"> in 9/2000 month-on-month came in at 0.90 percent.  Year-on-year PPI for 9/2000 was 3.30 percent.  Core inflation rose 0.3 percent in September.  Persistently high oil prices remain a concern for the Fed.</w:t>
            </w:r>
          </w:p>
          <w:p>
            <w:pPr>
              <w:pStyle w:val="Normal"/>
              <w:numPr>
                <w:ilvl w:val="0"/>
                <w:numId w:val="5"/>
              </w:numPr>
              <w:rPr>
                <w:sz w:val="22"/>
              </w:rPr>
            </w:pPr>
            <w:r>
              <w:rPr>
                <w:b/>
                <w:sz w:val="22"/>
              </w:rPr>
              <w:t>U.S. manufacturing activity</w:t>
            </w:r>
            <w:r>
              <w:rPr>
                <w:sz w:val="22"/>
              </w:rPr>
              <w:t xml:space="preserve"> continues to stagnate from a strong dollar and a weak auto sector.</w:t>
            </w:r>
          </w:p>
          <w:p>
            <w:pPr>
              <w:pStyle w:val="Normal"/>
              <w:numPr>
                <w:ilvl w:val="0"/>
                <w:numId w:val="6"/>
              </w:numPr>
              <w:rPr>
                <w:sz w:val="22"/>
              </w:rPr>
            </w:pPr>
            <w:r>
              <w:rPr>
                <w:b/>
                <w:sz w:val="22"/>
              </w:rPr>
              <w:t>Labor markets</w:t>
            </w:r>
            <w:r>
              <w:rPr>
                <w:sz w:val="22"/>
              </w:rPr>
              <w:t xml:space="preserve"> continue to be tight. Wage settlements by the UAW and public workers in California are expected.</w:t>
            </w:r>
          </w:p>
          <w:p>
            <w:pPr>
              <w:pStyle w:val="Normal"/>
              <w:numPr>
                <w:ilvl w:val="0"/>
                <w:numId w:val="6"/>
              </w:numPr>
              <w:rPr>
                <w:sz w:val="22"/>
              </w:rPr>
            </w:pPr>
            <w:r>
              <w:rPr>
                <w:sz w:val="22"/>
              </w:rPr>
              <w:t xml:space="preserve">The </w:t>
            </w:r>
            <w:r>
              <w:rPr>
                <w:b/>
                <w:sz w:val="22"/>
              </w:rPr>
              <w:t>next Fed FOMC meeting</w:t>
            </w:r>
            <w:r>
              <w:rPr>
                <w:sz w:val="22"/>
              </w:rPr>
              <w:t xml:space="preserve"> will take place on November 15</w:t>
            </w:r>
            <w:r>
              <w:rPr>
                <w:sz w:val="22"/>
                <w:vertAlign w:val="superscript"/>
              </w:rPr>
              <w:t>th</w:t>
            </w:r>
            <w:r>
              <w:rPr>
                <w:sz w:val="22"/>
              </w:rPr>
              <w:t xml:space="preserve">, just after the Presidential elections.  The current fragility in global financial markets and the escalating violence and unrest between Israel and the Palestinians will likely temper any Fed intention to raise interest rates following the election.  Without these destabilizing factors, the Fed may have been tempted by another 25 bps rise on heightened risks to price stability stemming from rising oil prices. </w:t>
            </w:r>
          </w:p>
        </w:tc>
      </w:tr>
      <w:tr>
        <w:trPr/>
        <w:tc>
          <w:tcPr>
            <w:tcW w:w="10188" w:type="dxa"/>
            <w:tcBorders>
              <w:top w:val="single" w:sz="4" w:space="0" w:color="000000"/>
              <w:start w:val="single" w:sz="4" w:space="0" w:color="000000"/>
              <w:end w:val="single" w:sz="4" w:space="0" w:color="000000"/>
            </w:tcBorders>
            <w:shd w:fill="F2F2F2" w:val="clear"/>
          </w:tcPr>
          <w:p>
            <w:pPr>
              <w:pStyle w:val="Normal"/>
              <w:rPr>
                <w:i/>
                <w:i/>
                <w:sz w:val="22"/>
              </w:rPr>
            </w:pPr>
            <w:r>
              <w:rPr>
                <w:i/>
                <w:sz w:val="22"/>
              </w:rPr>
              <w:t>Canada</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22"/>
              </w:rPr>
            </w:pPr>
            <w:r>
              <w:rPr>
                <w:sz w:val="22"/>
              </w:rPr>
              <w:t xml:space="preserve">The </w:t>
            </w:r>
            <w:r>
              <w:rPr>
                <w:b/>
                <w:sz w:val="22"/>
              </w:rPr>
              <w:t>Bank of Canada</w:t>
            </w:r>
            <w:r>
              <w:rPr>
                <w:sz w:val="22"/>
              </w:rPr>
              <w:t xml:space="preserve"> (BOC) will adopt a system of 8 “fixed”, or pre-specified, dates each year for announcing any changes to the official interest rate it charges on short-term loans to financial institutions.  The new plan goes into effect in November 2000. The dates for announcing Bank Rate changes in 2001 will be announced later this month. </w:t>
            </w:r>
          </w:p>
        </w:tc>
      </w:tr>
      <w:tr>
        <w:trPr/>
        <w:tc>
          <w:tcPr>
            <w:tcW w:w="10188" w:type="dxa"/>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 xml:space="preserve">Europe </w:t>
            </w:r>
          </w:p>
        </w:tc>
      </w:tr>
      <w:tr>
        <w:trPr/>
        <w:tc>
          <w:tcPr>
            <w:tcW w:w="10188" w:type="dxa"/>
            <w:tcBorders>
              <w:top w:val="single" w:sz="4" w:space="0" w:color="000000"/>
              <w:start w:val="single" w:sz="4" w:space="0" w:color="000000"/>
              <w:end w:val="single" w:sz="4" w:space="0" w:color="000000"/>
            </w:tcBorders>
          </w:tcPr>
          <w:p>
            <w:pPr>
              <w:pStyle w:val="Normal"/>
              <w:numPr>
                <w:ilvl w:val="0"/>
                <w:numId w:val="7"/>
              </w:numPr>
              <w:rPr>
                <w:sz w:val="22"/>
              </w:rPr>
            </w:pPr>
            <w:r>
              <w:rPr>
                <w:b/>
                <w:sz w:val="22"/>
              </w:rPr>
              <w:t>Inflationary Concerns</w:t>
            </w:r>
            <w:r>
              <w:rPr>
                <w:sz w:val="22"/>
              </w:rPr>
              <w:t xml:space="preserve">: Headline inflation, 2.3 percent as of 8/2000 and 2.7 percent in 9/2000, is expected to remain above the government’s target of 2.0 percent for the rest of 2000 and core inflation is expected to reach 2.0 percent by next year on high oil prices and a currency below parity with the U.S. dollar.  The ECB is concerned about the imminent round of wage and administered price settlements. </w:t>
            </w:r>
          </w:p>
          <w:p>
            <w:pPr>
              <w:pStyle w:val="Normal"/>
              <w:rPr>
                <w:sz w:val="22"/>
              </w:rPr>
            </w:pPr>
            <w:r>
              <w:rPr>
                <w:sz w:val="22"/>
              </w:rPr>
            </w:r>
          </w:p>
          <w:p>
            <w:pPr>
              <w:pStyle w:val="Normal"/>
              <w:numPr>
                <w:ilvl w:val="0"/>
                <w:numId w:val="7"/>
              </w:numPr>
              <w:rPr>
                <w:sz w:val="22"/>
              </w:rPr>
            </w:pPr>
            <w:r>
              <w:rPr>
                <w:b/>
                <w:sz w:val="22"/>
              </w:rPr>
              <w:t>GDP Outlook</w:t>
            </w:r>
            <w:r>
              <w:rPr>
                <w:sz w:val="22"/>
              </w:rPr>
              <w:t>: Growth is slowing in the Euro area as persistently high oil prices have dampened real incomes.  ECB remains confident that after a year of acceleration the euro area is settling into “cruising altitude”.  As a result of slower spending, GDP growth is expected to grow only 2.6 percent in the second half of 2000, after reaching a pace of 3.8% on average in the first 6 months of the year.  In 1999, GDP grew by 3.22 percent in the 11 Euro countries.</w:t>
            </w:r>
          </w:p>
          <w:p>
            <w:pPr>
              <w:pStyle w:val="Normal"/>
              <w:rPr>
                <w:sz w:val="22"/>
              </w:rPr>
            </w:pPr>
            <w:r>
              <w:rPr>
                <w:sz w:val="22"/>
              </w:rPr>
            </w:r>
          </w:p>
          <w:p>
            <w:pPr>
              <w:pStyle w:val="Normal"/>
              <w:numPr>
                <w:ilvl w:val="0"/>
                <w:numId w:val="7"/>
              </w:numPr>
              <w:rPr>
                <w:sz w:val="22"/>
              </w:rPr>
            </w:pPr>
            <w:r>
              <w:rPr>
                <w:b/>
                <w:sz w:val="22"/>
              </w:rPr>
              <w:t>Business Confidence</w:t>
            </w:r>
            <w:r>
              <w:rPr>
                <w:sz w:val="22"/>
                <w:u w:val="single"/>
              </w:rPr>
              <w:t>:</w:t>
            </w:r>
            <w:r>
              <w:rPr>
                <w:sz w:val="22"/>
              </w:rPr>
              <w:t xml:space="preserve"> Surveys of business confidence will continue to be the best indicators of changes in growth momentum.  The Ifo business survey is closely followed because it measures business confidence in Germany, Europe’s largest economy. </w:t>
            </w:r>
          </w:p>
          <w:p>
            <w:pPr>
              <w:pStyle w:val="Normal"/>
              <w:rPr>
                <w:sz w:val="22"/>
              </w:rPr>
            </w:pPr>
            <w:r>
              <w:rPr>
                <w:sz w:val="22"/>
              </w:rPr>
            </w:r>
          </w:p>
          <w:p>
            <w:pPr>
              <w:pStyle w:val="Normal"/>
              <w:numPr>
                <w:ilvl w:val="0"/>
                <w:numId w:val="7"/>
              </w:numPr>
              <w:rPr>
                <w:sz w:val="22"/>
              </w:rPr>
            </w:pPr>
            <w:r>
              <w:rPr>
                <w:b/>
                <w:sz w:val="22"/>
              </w:rPr>
              <w:t>Interest Rate Outlook</w:t>
            </w:r>
            <w:r>
              <w:rPr>
                <w:sz w:val="22"/>
              </w:rPr>
              <w:t xml:space="preserve">: The ECB will likely hold rates at 4.75 percent until downside risks to the growth outlook fade and for now retains a bias toward tightening.  If oil prices fall, the ECB is expected to tighten further. </w:t>
            </w:r>
          </w:p>
        </w:tc>
      </w:tr>
      <w:tr>
        <w:trPr/>
        <w:tc>
          <w:tcPr>
            <w:tcW w:w="10188" w:type="dxa"/>
            <w:tcBorders>
              <w:top w:val="single" w:sz="4" w:space="0" w:color="000000"/>
              <w:start w:val="single" w:sz="4" w:space="0" w:color="000000"/>
              <w:end w:val="single" w:sz="4" w:space="0" w:color="000000"/>
            </w:tcBorders>
            <w:shd w:fill="F2F2F2" w:val="clear"/>
          </w:tcPr>
          <w:p>
            <w:pPr>
              <w:pStyle w:val="Normal"/>
              <w:rPr>
                <w:i/>
                <w:i/>
                <w:sz w:val="22"/>
              </w:rPr>
            </w:pPr>
            <w:r>
              <w:rPr>
                <w:i/>
                <w:sz w:val="22"/>
              </w:rPr>
              <w:t xml:space="preserve">Asia/Pacific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sz w:val="22"/>
              </w:rPr>
            </w:pPr>
            <w:r>
              <w:rPr>
                <w:b/>
                <w:sz w:val="22"/>
              </w:rPr>
              <w:t>Japan Tankan Business Survey</w:t>
            </w:r>
            <w:r>
              <w:rPr>
                <w:sz w:val="22"/>
              </w:rPr>
              <w:t xml:space="preserve">: A solid increase in business confidence, and upward adjustments to sales and profits outlook, found in the September 2000 Tankan survey demonstrates that the Japanese recovery is continuing.  However, sustained high crude prices will have a more damaging effect on Japan than on the U.S. or Europe as Japan imports all its oil from abroad.  </w:t>
            </w:r>
          </w:p>
          <w:p>
            <w:pPr>
              <w:pStyle w:val="Normal"/>
              <w:rPr>
                <w:sz w:val="22"/>
              </w:rPr>
            </w:pPr>
            <w:r>
              <w:rPr>
                <w:sz w:val="22"/>
              </w:rPr>
            </w:r>
          </w:p>
          <w:p>
            <w:pPr>
              <w:pStyle w:val="Normal"/>
              <w:numPr>
                <w:ilvl w:val="0"/>
                <w:numId w:val="8"/>
              </w:numPr>
              <w:rPr>
                <w:sz w:val="22"/>
              </w:rPr>
            </w:pPr>
            <w:r>
              <w:rPr>
                <w:b/>
                <w:sz w:val="22"/>
              </w:rPr>
              <w:t>Nikkei Index</w:t>
            </w:r>
            <w:r>
              <w:rPr>
                <w:sz w:val="22"/>
              </w:rPr>
              <w:t xml:space="preserve">: The Bank of Japan will intervene in the stock market if the Nikkei index falls below 15,000 in order that Japanese banks will be able to meet their capital adequacy requirements at 8% as mandated by the BIS. </w:t>
            </w:r>
          </w:p>
          <w:p>
            <w:pPr>
              <w:pStyle w:val="Normal"/>
              <w:rPr>
                <w:sz w:val="22"/>
              </w:rPr>
            </w:pPr>
            <w:r>
              <w:rPr>
                <w:sz w:val="22"/>
              </w:rPr>
            </w:r>
          </w:p>
          <w:p>
            <w:pPr>
              <w:pStyle w:val="Normal"/>
              <w:numPr>
                <w:ilvl w:val="0"/>
                <w:numId w:val="8"/>
              </w:numPr>
              <w:rPr>
                <w:sz w:val="22"/>
              </w:rPr>
            </w:pPr>
            <w:r>
              <w:rPr>
                <w:b/>
                <w:sz w:val="22"/>
              </w:rPr>
              <w:t>Bank of Japan meeting, 12 Oct 2000</w:t>
            </w:r>
            <w:r>
              <w:rPr>
                <w:sz w:val="22"/>
              </w:rPr>
              <w:t xml:space="preserve">: The MPC decided to maintain the overnight call rate at 0.25 percent. </w:t>
            </w:r>
          </w:p>
        </w:tc>
      </w:tr>
    </w:tbl>
    <w:p>
      <w:pPr>
        <w:pStyle w:val="Normal"/>
        <w:rPr>
          <w:sz w:val="22"/>
        </w:rPr>
      </w:pPr>
      <w:r>
        <w:rPr>
          <w:sz w:val="22"/>
        </w:rPr>
      </w:r>
      <w:r>
        <w:br w:type="page"/>
      </w:r>
    </w:p>
    <w:p>
      <w:pPr>
        <w:pStyle w:val="Normal"/>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458"/>
        <w:gridCol w:w="1800"/>
        <w:gridCol w:w="1170"/>
        <w:gridCol w:w="2070"/>
        <w:gridCol w:w="2070"/>
        <w:gridCol w:w="1620"/>
      </w:tblGrid>
      <w:tr>
        <w:trPr/>
        <w:tc>
          <w:tcPr>
            <w:tcW w:w="10188" w:type="dxa"/>
            <w:gridSpan w:val="6"/>
            <w:tcBorders>
              <w:top w:val="single" w:sz="4" w:space="0" w:color="000000"/>
              <w:start w:val="single" w:sz="4" w:space="0" w:color="000000"/>
              <w:end w:val="single" w:sz="4" w:space="0" w:color="000000"/>
            </w:tcBorders>
            <w:shd w:fill="BFBFBF" w:val="clear"/>
          </w:tcPr>
          <w:p>
            <w:pPr>
              <w:pStyle w:val="Normal"/>
              <w:rPr>
                <w:b/>
                <w:sz w:val="28"/>
              </w:rPr>
            </w:pPr>
            <w:r>
              <w:rPr>
                <w:b/>
                <w:sz w:val="28"/>
              </w:rPr>
              <w:t>G-7+ Central Bank Monitor</w:t>
            </w:r>
          </w:p>
        </w:tc>
      </w:tr>
      <w:tr>
        <w:trPr/>
        <w:tc>
          <w:tcPr>
            <w:tcW w:w="1458" w:type="dxa"/>
            <w:tcBorders>
              <w:top w:val="single" w:sz="4" w:space="0" w:color="000000"/>
              <w:start w:val="single" w:sz="4" w:space="0" w:color="000000"/>
              <w:end w:val="single" w:sz="4" w:space="0" w:color="000000"/>
            </w:tcBorders>
          </w:tcPr>
          <w:p>
            <w:pPr>
              <w:pStyle w:val="Normal"/>
              <w:jc w:val="center"/>
              <w:rPr/>
            </w:pPr>
            <w:r>
              <w:rPr/>
              <w:t>Country</w:t>
            </w:r>
          </w:p>
        </w:tc>
        <w:tc>
          <w:tcPr>
            <w:tcW w:w="1800" w:type="dxa"/>
            <w:tcBorders>
              <w:top w:val="single" w:sz="4" w:space="0" w:color="000000"/>
              <w:start w:val="single" w:sz="4" w:space="0" w:color="000000"/>
              <w:end w:val="single" w:sz="4" w:space="0" w:color="000000"/>
            </w:tcBorders>
          </w:tcPr>
          <w:p>
            <w:pPr>
              <w:pStyle w:val="Normal"/>
              <w:jc w:val="center"/>
              <w:rPr/>
            </w:pPr>
            <w:r>
              <w:rPr/>
              <w:t>Official Interest Rate</w:t>
            </w:r>
          </w:p>
        </w:tc>
        <w:tc>
          <w:tcPr>
            <w:tcW w:w="1170" w:type="dxa"/>
            <w:tcBorders>
              <w:top w:val="single" w:sz="4" w:space="0" w:color="000000"/>
              <w:start w:val="single" w:sz="4" w:space="0" w:color="000000"/>
              <w:end w:val="single" w:sz="4" w:space="0" w:color="000000"/>
            </w:tcBorders>
          </w:tcPr>
          <w:p>
            <w:pPr>
              <w:pStyle w:val="Normal"/>
              <w:jc w:val="center"/>
              <w:rPr/>
            </w:pPr>
            <w:r>
              <w:rPr/>
              <w:t>Current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Change from prev. bias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Last Change </w:t>
            </w:r>
            <w:r>
              <w:rPr>
                <w:color w:val="FF0000"/>
              </w:rPr>
              <w:t>*</w:t>
            </w:r>
          </w:p>
        </w:tc>
        <w:tc>
          <w:tcPr>
            <w:tcW w:w="1620" w:type="dxa"/>
            <w:tcBorders>
              <w:top w:val="single" w:sz="4" w:space="0" w:color="000000"/>
              <w:start w:val="single" w:sz="4" w:space="0" w:color="000000"/>
              <w:end w:val="single" w:sz="4" w:space="0" w:color="000000"/>
            </w:tcBorders>
          </w:tcPr>
          <w:p>
            <w:pPr>
              <w:pStyle w:val="Normal"/>
              <w:jc w:val="center"/>
              <w:rPr>
                <w:color w:val="FF0000"/>
              </w:rPr>
            </w:pPr>
            <w:r>
              <w:rPr/>
              <w:t>Next MPC Mtg.</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The Americas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United States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Federal funds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30 Jun 99 (+175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May 00 (+50bps)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15 Nov 2000</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1800" w:type="dxa"/>
            <w:tcBorders>
              <w:top w:val="single" w:sz="4" w:space="0" w:color="000000"/>
              <w:start w:val="single" w:sz="4" w:space="0" w:color="000000"/>
              <w:end w:val="single" w:sz="4" w:space="0" w:color="000000"/>
            </w:tcBorders>
          </w:tcPr>
          <w:p>
            <w:pPr>
              <w:pStyle w:val="Normal"/>
              <w:rPr>
                <w:sz w:val="22"/>
              </w:rPr>
            </w:pPr>
            <w:r>
              <w:rPr>
                <w:sz w:val="22"/>
              </w:rPr>
              <w:t>Overnight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5.75</w:t>
            </w:r>
          </w:p>
        </w:tc>
        <w:tc>
          <w:tcPr>
            <w:tcW w:w="2070" w:type="dxa"/>
            <w:tcBorders>
              <w:top w:val="single" w:sz="4" w:space="0" w:color="000000"/>
              <w:start w:val="single" w:sz="4" w:space="0" w:color="000000"/>
              <w:end w:val="single" w:sz="4" w:space="0" w:color="000000"/>
            </w:tcBorders>
          </w:tcPr>
          <w:p>
            <w:pPr>
              <w:pStyle w:val="Normal"/>
              <w:rPr>
                <w:sz w:val="22"/>
              </w:rPr>
            </w:pPr>
            <w:r>
              <w:rPr>
                <w:rFonts w:eastAsia="Garamond"/>
                <w:sz w:val="22"/>
              </w:rPr>
              <w:t xml:space="preserve"> </w:t>
            </w:r>
            <w:r>
              <w:rPr>
                <w:sz w:val="22"/>
              </w:rPr>
              <w:t>3 May 99 (+125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17 May 00 (+50bps)</w:t>
            </w:r>
          </w:p>
        </w:tc>
        <w:tc>
          <w:tcPr>
            <w:tcW w:w="1620" w:type="dxa"/>
            <w:tcBorders>
              <w:top w:val="single" w:sz="4" w:space="0" w:color="000000"/>
              <w:start w:val="single" w:sz="4" w:space="0" w:color="000000"/>
              <w:end w:val="single" w:sz="4" w:space="0" w:color="000000"/>
            </w:tcBorders>
          </w:tcPr>
          <w:p>
            <w:pPr>
              <w:pStyle w:val="Normal"/>
              <w:jc w:val="center"/>
              <w:rPr>
                <w:sz w:val="22"/>
              </w:rPr>
            </w:pPr>
            <w:r>
              <w:rPr>
                <w:sz w:val="22"/>
              </w:rPr>
              <w:t>26 Oct 2000</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 xml:space="preserve">Europe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ECB</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ECB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4.75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 Nov 99 (+225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color w:val="FF0000"/>
                <w:sz w:val="22"/>
              </w:rPr>
            </w:pPr>
            <w:r>
              <w:rPr>
                <w:rFonts w:eastAsia="Garamond"/>
                <w:color w:val="FF0000"/>
                <w:sz w:val="22"/>
              </w:rPr>
              <w:t xml:space="preserve"> </w:t>
            </w:r>
            <w:r>
              <w:rPr>
                <w:color w:val="FF0000"/>
                <w:sz w:val="22"/>
              </w:rPr>
              <w:t>5 Oct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19 Oct 2000</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U.K.</w:t>
            </w:r>
          </w:p>
        </w:tc>
        <w:tc>
          <w:tcPr>
            <w:tcW w:w="1800" w:type="dxa"/>
            <w:tcBorders>
              <w:top w:val="single" w:sz="4" w:space="0" w:color="000000"/>
              <w:start w:val="single" w:sz="4" w:space="0" w:color="000000"/>
              <w:end w:val="single" w:sz="4" w:space="0" w:color="000000"/>
            </w:tcBorders>
          </w:tcPr>
          <w:p>
            <w:pPr>
              <w:pStyle w:val="Normal"/>
              <w:rPr>
                <w:sz w:val="22"/>
              </w:rPr>
            </w:pPr>
            <w:r>
              <w:rPr>
                <w:sz w:val="22"/>
              </w:rPr>
              <w:t>Base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6.00</w:t>
            </w:r>
          </w:p>
        </w:tc>
        <w:tc>
          <w:tcPr>
            <w:tcW w:w="2070" w:type="dxa"/>
            <w:tcBorders>
              <w:top w:val="single" w:sz="4" w:space="0" w:color="000000"/>
              <w:start w:val="single" w:sz="4" w:space="0" w:color="000000"/>
              <w:end w:val="single" w:sz="4" w:space="0" w:color="000000"/>
            </w:tcBorders>
          </w:tcPr>
          <w:p>
            <w:pPr>
              <w:pStyle w:val="Normal"/>
              <w:rPr>
                <w:sz w:val="22"/>
              </w:rPr>
            </w:pPr>
            <w:r>
              <w:rPr>
                <w:sz w:val="22"/>
              </w:rPr>
              <w:t>8 May 99 (+100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10 Feb 00 (+25 bps)</w:t>
            </w:r>
          </w:p>
        </w:tc>
        <w:tc>
          <w:tcPr>
            <w:tcW w:w="1620" w:type="dxa"/>
            <w:tcBorders>
              <w:top w:val="single" w:sz="4" w:space="0" w:color="000000"/>
              <w:start w:val="single" w:sz="4" w:space="0" w:color="000000"/>
              <w:end w:val="single" w:sz="4" w:space="0" w:color="000000"/>
            </w:tcBorders>
          </w:tcPr>
          <w:p>
            <w:pPr>
              <w:pStyle w:val="Normal"/>
              <w:jc w:val="center"/>
              <w:rPr>
                <w:sz w:val="22"/>
              </w:rPr>
            </w:pPr>
            <w:r>
              <w:rPr>
                <w:sz w:val="22"/>
              </w:rPr>
              <w:t>8 Nov 2000</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Asia/Pacific</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RBA 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Nov 99 (+150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7 Nov 2000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New Zealand</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Nov 99 (+200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May 00 (+50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 Dec 2000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Overnight call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(+24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29 Oct 2000</w:t>
            </w:r>
          </w:p>
        </w:tc>
      </w:tr>
    </w:tbl>
    <w:p>
      <w:pPr>
        <w:pStyle w:val="Normal"/>
        <w:rPr>
          <w:sz w:val="22"/>
          <w:lang w:val="en-CA"/>
        </w:rPr>
      </w:pPr>
      <w:r>
        <w:rPr>
          <w:sz w:val="22"/>
          <w:lang w:val="en-CA"/>
        </w:rPr>
        <w:object w:dxaOrig="6401" w:dyaOrig="435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86.4pt;margin-top:18.45pt;width:313.5pt;height:214.5pt;mso-wrap-distance-left:9.05pt;mso-wrap-distance-right:9.05pt;mso-position-horizontal-relative:text;mso-position-vertical-relative:text" filled="f" o:ole="">
            <v:imagedata r:id="rId5" o:title=""/>
            <w10:wrap type="topAndBottom"/>
          </v:shape>
          <o:OLEObject Type="Embed" ProgID="Excel.Sheet.12" ShapeID="ole_rId4" DrawAspect="Content" ObjectID="_933712749" r:id="rId4"/>
        </w:object>
      </w:r>
    </w:p>
    <w:p>
      <w:pPr>
        <w:pStyle w:val="Normal"/>
        <w:rPr>
          <w:sz w:val="22"/>
        </w:rPr>
      </w:pPr>
      <w:r>
        <w:rPr>
          <w:sz w:val="22"/>
        </w:rPr>
      </w:r>
    </w:p>
    <w:p>
      <w:pPr>
        <w:pStyle w:val="Normal"/>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8"/>
              </w:rPr>
            </w:pPr>
            <w:r>
              <w:rPr>
                <w:b/>
                <w:sz w:val="28"/>
              </w:rPr>
              <w:t>Highlights of Last Week (2 – 6 October 2000)</w:t>
            </w:r>
          </w:p>
        </w:tc>
      </w:tr>
      <w:tr>
        <w:trPr>
          <w:trHeight w:val="1997" w:hRule="atLeast"/>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pBdr>
                <w:top w:val="single" w:sz="4" w:space="1" w:color="000000"/>
                <w:left w:val="single" w:sz="4" w:space="4" w:color="000000"/>
                <w:bottom w:val="single" w:sz="4" w:space="1" w:color="000000"/>
                <w:right w:val="single" w:sz="4" w:space="4" w:color="000000"/>
              </w:pBdr>
              <w:rPr>
                <w:sz w:val="22"/>
              </w:rPr>
            </w:pPr>
            <w:r>
              <w:rPr>
                <w:sz w:val="22"/>
              </w:rPr>
              <w:t xml:space="preserve">Three major </w:t>
            </w:r>
            <w:r>
              <w:rPr>
                <w:b/>
                <w:sz w:val="22"/>
              </w:rPr>
              <w:t>central banks</w:t>
            </w:r>
            <w:r>
              <w:rPr>
                <w:sz w:val="22"/>
              </w:rPr>
              <w:t xml:space="preserve"> met last week to decide on the direction of interest rates.  The Fed held interest rates steady at 6.5% on October 3</w:t>
            </w:r>
            <w:r>
              <w:rPr>
                <w:sz w:val="22"/>
                <w:vertAlign w:val="superscript"/>
              </w:rPr>
              <w:t>rd</w:t>
            </w:r>
            <w:r>
              <w:rPr>
                <w:sz w:val="22"/>
              </w:rPr>
              <w:t xml:space="preserve"> on signs that expansion of aggregate demand in the U.S. has moderated to a pace closer to the enhanced rate of growth of the economy’s potential to produce.  The Fed retained its tightening bias.  Since 30 June 1999, the Fed has raised rates six times for a total of 175 bps, from 4.75 percent in May 1999 to 6.5 percent on 16 May 2000.</w:t>
            </w:r>
          </w:p>
          <w:p>
            <w:pPr>
              <w:pStyle w:val="Normal"/>
              <w:pBdr>
                <w:top w:val="single" w:sz="4" w:space="1" w:color="000000"/>
                <w:left w:val="single" w:sz="4" w:space="4" w:color="000000"/>
                <w:bottom w:val="single" w:sz="4" w:space="1" w:color="000000"/>
                <w:right w:val="single" w:sz="4" w:space="4" w:color="000000"/>
              </w:pBdr>
              <w:rPr>
                <w:sz w:val="22"/>
              </w:rPr>
            </w:pPr>
            <w:r>
              <w:rPr>
                <w:sz w:val="22"/>
              </w:rPr>
            </w:r>
          </w:p>
          <w:p>
            <w:pPr>
              <w:pStyle w:val="Normal"/>
              <w:numPr>
                <w:ilvl w:val="0"/>
                <w:numId w:val="2"/>
              </w:numPr>
              <w:pBdr>
                <w:top w:val="single" w:sz="4" w:space="1" w:color="000000"/>
                <w:left w:val="single" w:sz="4" w:space="4" w:color="000000"/>
                <w:bottom w:val="single" w:sz="4" w:space="1" w:color="000000"/>
                <w:right w:val="single" w:sz="4" w:space="4" w:color="000000"/>
              </w:pBdr>
              <w:rPr>
                <w:sz w:val="22"/>
              </w:rPr>
            </w:pPr>
            <w:r>
              <w:rPr>
                <w:sz w:val="22"/>
              </w:rPr>
              <w:t xml:space="preserve">The </w:t>
            </w:r>
            <w:r>
              <w:rPr>
                <w:b/>
                <w:sz w:val="22"/>
              </w:rPr>
              <w:t>Bank of England</w:t>
            </w:r>
            <w:r>
              <w:rPr>
                <w:sz w:val="22"/>
              </w:rPr>
              <w:t xml:space="preserve"> (BOE) held rates at 6.0 percent on October 5</w:t>
            </w:r>
            <w:r>
              <w:rPr>
                <w:sz w:val="22"/>
                <w:vertAlign w:val="superscript"/>
              </w:rPr>
              <w:t>th</w:t>
            </w:r>
            <w:r>
              <w:rPr>
                <w:sz w:val="22"/>
              </w:rPr>
              <w:t>. Minutes of the Monetary Policy Committee (MPC) meeting will be published on Wednesday 18 October 2000.</w:t>
            </w:r>
          </w:p>
          <w:p>
            <w:pPr>
              <w:pStyle w:val="Normal"/>
              <w:pBdr>
                <w:top w:val="single" w:sz="4" w:space="1" w:color="000000"/>
                <w:left w:val="single" w:sz="4" w:space="4" w:color="000000"/>
                <w:bottom w:val="single" w:sz="4" w:space="1" w:color="000000"/>
                <w:right w:val="single" w:sz="4" w:space="4" w:color="000000"/>
              </w:pBdr>
              <w:rPr>
                <w:sz w:val="22"/>
              </w:rPr>
            </w:pPr>
            <w:r>
              <w:rPr>
                <w:sz w:val="22"/>
              </w:rPr>
            </w:r>
          </w:p>
          <w:p>
            <w:pPr>
              <w:pStyle w:val="Normal"/>
              <w:numPr>
                <w:ilvl w:val="0"/>
                <w:numId w:val="3"/>
              </w:numPr>
              <w:rPr>
                <w:sz w:val="22"/>
              </w:rPr>
            </w:pPr>
            <w:r>
              <w:rPr>
                <w:b/>
                <w:sz w:val="22"/>
              </w:rPr>
              <w:t>Bank of Japan</w:t>
            </w:r>
            <w:r>
              <w:rPr>
                <w:sz w:val="22"/>
              </w:rPr>
              <w:t xml:space="preserve"> decided to maintain the call rate at 0.25 percent at its meeting on 12 October.</w:t>
            </w:r>
          </w:p>
        </w:tc>
      </w:tr>
    </w:tbl>
    <w:p>
      <w:pPr>
        <w:pStyle w:val="Normal"/>
        <w:rPr>
          <w:sz w:val="22"/>
        </w:rPr>
      </w:pPr>
      <w:r>
        <w:rPr>
          <w:sz w:val="22"/>
        </w:rPr>
      </w:r>
      <w:r>
        <w:br w:type="page"/>
      </w:r>
    </w:p>
    <w:p>
      <w:pPr>
        <w:pStyle w:val="Normal"/>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098"/>
        <w:gridCol w:w="2070"/>
        <w:gridCol w:w="24"/>
        <w:gridCol w:w="1596"/>
        <w:gridCol w:w="1800"/>
        <w:gridCol w:w="1710"/>
        <w:gridCol w:w="1890"/>
      </w:tblGrid>
      <w:tr>
        <w:trPr>
          <w:trHeight w:val="287" w:hRule="atLeast"/>
        </w:trPr>
        <w:tc>
          <w:tcPr>
            <w:tcW w:w="10188" w:type="dxa"/>
            <w:gridSpan w:val="7"/>
            <w:tcBorders>
              <w:top w:val="single" w:sz="4" w:space="0" w:color="000000"/>
              <w:start w:val="single" w:sz="4" w:space="0" w:color="000000"/>
              <w:bottom w:val="single" w:sz="4" w:space="0" w:color="000000"/>
              <w:end w:val="single" w:sz="4" w:space="0" w:color="000000"/>
            </w:tcBorders>
            <w:shd w:fill="BFBFBF" w:val="clear"/>
          </w:tcPr>
          <w:p>
            <w:pPr>
              <w:pStyle w:val="Normal"/>
              <w:rPr>
                <w:b/>
                <w:sz w:val="28"/>
              </w:rPr>
            </w:pPr>
            <w:r>
              <w:rPr>
                <w:b/>
                <w:sz w:val="28"/>
              </w:rPr>
              <w:t>G-7+ Economic Calendar – 16 October to 20 October 2000</w:t>
            </w:r>
          </w:p>
        </w:tc>
      </w:tr>
      <w:tr>
        <w:trPr/>
        <w:tc>
          <w:tcPr>
            <w:tcW w:w="1098" w:type="dxa"/>
            <w:tcBorders>
              <w:top w:val="single" w:sz="4" w:space="0" w:color="000000"/>
              <w:start w:val="single" w:sz="4" w:space="0" w:color="000000"/>
              <w:end w:val="single" w:sz="4" w:space="0" w:color="000000"/>
            </w:tcBorders>
          </w:tcPr>
          <w:p>
            <w:pPr>
              <w:pStyle w:val="Heading3"/>
              <w:spacing w:before="0" w:after="0"/>
              <w:ind w:hanging="0" w:start="0"/>
              <w:jc w:val="center"/>
              <w:rPr/>
            </w:pPr>
            <w:r>
              <w:rPr/>
              <w:t>Country</w:t>
            </w:r>
          </w:p>
        </w:tc>
        <w:tc>
          <w:tcPr>
            <w:tcW w:w="2094" w:type="dxa"/>
            <w:gridSpan w:val="2"/>
            <w:tcBorders>
              <w:top w:val="single" w:sz="4" w:space="0" w:color="000000"/>
              <w:start w:val="single" w:sz="4" w:space="0" w:color="000000"/>
              <w:end w:val="single" w:sz="4" w:space="0" w:color="000000"/>
            </w:tcBorders>
          </w:tcPr>
          <w:p>
            <w:pPr>
              <w:pStyle w:val="Normal"/>
              <w:jc w:val="center"/>
              <w:rPr>
                <w:b/>
                <w:sz w:val="22"/>
              </w:rPr>
            </w:pPr>
            <w:r>
              <w:rPr>
                <w:b/>
                <w:sz w:val="22"/>
              </w:rPr>
              <w:t>Mon. 16 Oct.</w:t>
            </w:r>
          </w:p>
        </w:tc>
        <w:tc>
          <w:tcPr>
            <w:tcW w:w="1596" w:type="dxa"/>
            <w:tcBorders>
              <w:top w:val="single" w:sz="4" w:space="0" w:color="000000"/>
              <w:start w:val="single" w:sz="4" w:space="0" w:color="000000"/>
              <w:end w:val="single" w:sz="4" w:space="0" w:color="000000"/>
            </w:tcBorders>
          </w:tcPr>
          <w:p>
            <w:pPr>
              <w:pStyle w:val="Normal"/>
              <w:jc w:val="center"/>
              <w:rPr>
                <w:b/>
                <w:sz w:val="22"/>
              </w:rPr>
            </w:pPr>
            <w:r>
              <w:rPr>
                <w:b/>
                <w:sz w:val="22"/>
              </w:rPr>
              <w:t>Tues. 17 Oct.</w:t>
            </w:r>
          </w:p>
        </w:tc>
        <w:tc>
          <w:tcPr>
            <w:tcW w:w="1800" w:type="dxa"/>
            <w:tcBorders>
              <w:top w:val="single" w:sz="4" w:space="0" w:color="000000"/>
              <w:start w:val="single" w:sz="4" w:space="0" w:color="000000"/>
              <w:end w:val="single" w:sz="4" w:space="0" w:color="000000"/>
            </w:tcBorders>
          </w:tcPr>
          <w:p>
            <w:pPr>
              <w:pStyle w:val="Normal"/>
              <w:jc w:val="center"/>
              <w:rPr>
                <w:b/>
                <w:sz w:val="22"/>
              </w:rPr>
            </w:pPr>
            <w:r>
              <w:rPr>
                <w:b/>
                <w:sz w:val="22"/>
              </w:rPr>
              <w:t>Wed. 18 Oct</w:t>
            </w:r>
          </w:p>
        </w:tc>
        <w:tc>
          <w:tcPr>
            <w:tcW w:w="1710" w:type="dxa"/>
            <w:tcBorders>
              <w:top w:val="single" w:sz="4" w:space="0" w:color="000000"/>
              <w:start w:val="single" w:sz="4" w:space="0" w:color="000000"/>
              <w:end w:val="single" w:sz="4" w:space="0" w:color="000000"/>
            </w:tcBorders>
          </w:tcPr>
          <w:p>
            <w:pPr>
              <w:pStyle w:val="Normal"/>
              <w:jc w:val="center"/>
              <w:rPr>
                <w:b/>
                <w:sz w:val="22"/>
              </w:rPr>
            </w:pPr>
            <w:r>
              <w:rPr>
                <w:b/>
                <w:sz w:val="22"/>
              </w:rPr>
              <w:t>Thurs. 19 Oct.</w:t>
            </w:r>
          </w:p>
        </w:tc>
        <w:tc>
          <w:tcPr>
            <w:tcW w:w="1890" w:type="dxa"/>
            <w:tcBorders>
              <w:top w:val="single" w:sz="4" w:space="0" w:color="000000"/>
              <w:start w:val="single" w:sz="4" w:space="0" w:color="000000"/>
              <w:end w:val="single" w:sz="4" w:space="0" w:color="000000"/>
            </w:tcBorders>
          </w:tcPr>
          <w:p>
            <w:pPr>
              <w:pStyle w:val="Normal"/>
              <w:jc w:val="center"/>
              <w:rPr>
                <w:b/>
                <w:sz w:val="22"/>
              </w:rPr>
            </w:pPr>
            <w:r>
              <w:rPr>
                <w:b/>
                <w:sz w:val="22"/>
              </w:rPr>
              <w:t>Fri. 20 Oct.</w:t>
            </w:r>
          </w:p>
        </w:tc>
      </w:tr>
      <w:tr>
        <w:trPr/>
        <w:tc>
          <w:tcPr>
            <w:tcW w:w="10188" w:type="dxa"/>
            <w:gridSpan w:val="7"/>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The Americas</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U.S.</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bottom w:val="single" w:sz="4" w:space="0" w:color="000000"/>
              <w:end w:val="single" w:sz="4" w:space="0" w:color="000000"/>
            </w:tcBorders>
          </w:tcPr>
          <w:p>
            <w:pPr>
              <w:pStyle w:val="Normal"/>
              <w:rPr/>
            </w:pPr>
            <w:r>
              <w:rPr/>
              <w:t>Business Inventories;</w:t>
            </w:r>
          </w:p>
          <w:p>
            <w:pPr>
              <w:pStyle w:val="Normal"/>
              <w:rPr/>
            </w:pPr>
            <w:r>
              <w:rPr/>
              <w:t>Auction of T-bills;</w:t>
            </w:r>
          </w:p>
          <w:p>
            <w:pPr>
              <w:pStyle w:val="BodyText2"/>
              <w:rPr/>
            </w:pPr>
            <w:r>
              <w:rPr/>
              <w:t>Greenspan speech at financial markets conf at Sea Island Georgia</w:t>
            </w:r>
          </w:p>
        </w:tc>
        <w:tc>
          <w:tcPr>
            <w:tcW w:w="1596"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Industrial Prod;</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Redbook;</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Homebuilders survey</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color w:val="FF0000"/>
              </w:rPr>
              <w:t>CPI</w:t>
            </w:r>
            <w:r>
              <w:rPr/>
              <w:t>;</w:t>
            </w:r>
          </w:p>
          <w:p>
            <w:pPr>
              <w:pStyle w:val="Normal"/>
              <w:rPr/>
            </w:pPr>
            <w:r>
              <w:rPr/>
              <w:t>Mortgage Apps;</w:t>
            </w:r>
          </w:p>
          <w:p>
            <w:pPr>
              <w:pStyle w:val="Normal"/>
              <w:rPr/>
            </w:pPr>
            <w:r>
              <w:rPr/>
              <w:t>Real earnings;</w:t>
            </w:r>
          </w:p>
          <w:p>
            <w:pPr>
              <w:pStyle w:val="Normal"/>
              <w:rPr>
                <w:color w:val="FF0000"/>
              </w:rPr>
            </w:pPr>
            <w:r>
              <w:rPr>
                <w:color w:val="FF0000"/>
              </w:rPr>
              <w:t>Housing starts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Jobless claims;</w:t>
            </w:r>
          </w:p>
          <w:p>
            <w:pPr>
              <w:pStyle w:val="Normal"/>
              <w:rPr/>
            </w:pPr>
            <w:r>
              <w:rPr/>
              <w:t>International Trade;</w:t>
            </w:r>
          </w:p>
          <w:p>
            <w:pPr>
              <w:pStyle w:val="Normal"/>
              <w:rPr/>
            </w:pPr>
            <w:r>
              <w:rPr/>
              <w:t>Phila Fed Survey;</w:t>
            </w:r>
          </w:p>
          <w:p>
            <w:pPr>
              <w:pStyle w:val="Normal"/>
              <w:rPr>
                <w:color w:val="FF0000"/>
              </w:rPr>
            </w:pPr>
            <w:r>
              <w:rPr>
                <w:color w:val="FF0000"/>
              </w:rPr>
              <w:t>Greenspan speech on Monetary Policy in the New Economy</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Fed Gov. Meyer to speak on policy decisions and interest rates.</w:t>
            </w:r>
          </w:p>
        </w:tc>
      </w:tr>
      <w:tr>
        <w:trPr/>
        <w:tc>
          <w:tcPr>
            <w:tcW w:w="1098"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2094" w:type="dxa"/>
            <w:gridSpan w:val="2"/>
            <w:tcBorders>
              <w:top w:val="single" w:sz="4" w:space="0" w:color="000000"/>
              <w:start w:val="single" w:sz="4" w:space="0" w:color="000000"/>
              <w:end w:val="single" w:sz="4" w:space="0" w:color="000000"/>
            </w:tcBorders>
          </w:tcPr>
          <w:p>
            <w:pPr>
              <w:pStyle w:val="Normal"/>
              <w:snapToGrid w:val="false"/>
              <w:rPr>
                <w:b/>
                <w:sz w:val="22"/>
              </w:rPr>
            </w:pPr>
            <w:r>
              <w:rPr>
                <w:b/>
                <w:sz w:val="22"/>
              </w:rPr>
            </w:r>
          </w:p>
        </w:tc>
        <w:tc>
          <w:tcPr>
            <w:tcW w:w="1596" w:type="dxa"/>
            <w:tcBorders>
              <w:top w:val="single" w:sz="4" w:space="0" w:color="000000"/>
              <w:start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end w:val="single" w:sz="4" w:space="0" w:color="000000"/>
            </w:tcBorders>
          </w:tcPr>
          <w:p>
            <w:pPr>
              <w:pStyle w:val="Normal"/>
              <w:rPr/>
            </w:pPr>
            <w:r>
              <w:rPr/>
              <w:t>Mtg. shipments;</w:t>
            </w:r>
          </w:p>
          <w:p>
            <w:pPr>
              <w:pStyle w:val="Normal"/>
              <w:rPr/>
            </w:pPr>
            <w:r>
              <w:rPr/>
              <w:t>International Trade;</w:t>
            </w:r>
          </w:p>
          <w:p>
            <w:pPr>
              <w:pStyle w:val="Normal"/>
              <w:rPr/>
            </w:pPr>
            <w:r>
              <w:rPr/>
              <w:t>Wholesale Sales;</w:t>
            </w:r>
          </w:p>
          <w:p>
            <w:pPr>
              <w:pStyle w:val="Normal"/>
              <w:rPr>
                <w:color w:val="FF0000"/>
              </w:rPr>
            </w:pPr>
            <w:r>
              <w:rPr>
                <w:color w:val="FF0000"/>
              </w:rPr>
              <w:t>CPI;</w:t>
            </w:r>
          </w:p>
          <w:p>
            <w:pPr>
              <w:pStyle w:val="Normal"/>
              <w:rPr/>
            </w:pPr>
            <w:r>
              <w:rPr/>
              <w:t>Core CPI</w:t>
            </w:r>
          </w:p>
        </w:tc>
        <w:tc>
          <w:tcPr>
            <w:tcW w:w="1710" w:type="dxa"/>
            <w:tcBorders>
              <w:top w:val="single" w:sz="4" w:space="0" w:color="000000"/>
              <w:start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end w:val="single" w:sz="4" w:space="0" w:color="000000"/>
            </w:tcBorders>
          </w:tcPr>
          <w:p>
            <w:pPr>
              <w:pStyle w:val="Normal"/>
              <w:rPr/>
            </w:pPr>
            <w:r>
              <w:rPr/>
              <w:t>CPI</w:t>
            </w:r>
          </w:p>
        </w:tc>
      </w:tr>
      <w:tr>
        <w:trPr/>
        <w:tc>
          <w:tcPr>
            <w:tcW w:w="10188" w:type="dxa"/>
            <w:gridSpan w:val="7"/>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Europe</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ECB</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1596" w:type="dxa"/>
            <w:tcBorders>
              <w:top w:val="single" w:sz="4" w:space="0" w:color="000000"/>
              <w:start w:val="single" w:sz="4" w:space="0" w:color="000000"/>
              <w:bottom w:val="single" w:sz="4" w:space="0" w:color="000000"/>
              <w:end w:val="single" w:sz="4" w:space="0" w:color="000000"/>
            </w:tcBorders>
          </w:tcPr>
          <w:p>
            <w:pPr>
              <w:pStyle w:val="Normal"/>
              <w:rPr/>
            </w:pPr>
            <w:r>
              <w:rPr>
                <w:color w:val="FF0000"/>
              </w:rPr>
              <w:t>HICP Sept. 2000</w:t>
            </w:r>
            <w:r>
              <w:rPr/>
              <w:t xml:space="preserve"> (Euro-11 and Euro-15)</w:t>
            </w:r>
          </w:p>
        </w:tc>
        <w:tc>
          <w:tcPr>
            <w:tcW w:w="180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Germany: Ifo business survey;</w:t>
            </w:r>
          </w:p>
          <w:p>
            <w:pPr>
              <w:pStyle w:val="BodyText2"/>
              <w:rPr/>
            </w:pPr>
            <w:r>
              <w:rPr/>
            </w:r>
          </w:p>
          <w:p>
            <w:pPr>
              <w:pStyle w:val="Normal"/>
              <w:rPr>
                <w:color w:val="FF0000"/>
              </w:rPr>
            </w:pPr>
            <w:r>
              <w:rPr>
                <w:color w:val="FF0000"/>
              </w:rPr>
              <w:t>ECB MPC Meeting.</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color w:val="FF0000"/>
              </w:rPr>
            </w:pPr>
            <w:r>
              <w:rPr>
                <w:color w:val="FF0000"/>
              </w:rPr>
            </w:r>
          </w:p>
        </w:tc>
      </w:tr>
      <w:tr>
        <w:trPr/>
        <w:tc>
          <w:tcPr>
            <w:tcW w:w="1098" w:type="dxa"/>
            <w:tcBorders>
              <w:top w:val="single" w:sz="4" w:space="0" w:color="000000"/>
              <w:start w:val="single" w:sz="4" w:space="0" w:color="000000"/>
              <w:end w:val="single" w:sz="4" w:space="0" w:color="000000"/>
            </w:tcBorders>
          </w:tcPr>
          <w:p>
            <w:pPr>
              <w:pStyle w:val="Normal"/>
              <w:rPr>
                <w:b/>
                <w:sz w:val="22"/>
              </w:rPr>
            </w:pPr>
            <w:r>
              <w:rPr>
                <w:b/>
                <w:sz w:val="22"/>
              </w:rPr>
              <w:t>U.K.</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end w:val="single" w:sz="4" w:space="0" w:color="000000"/>
            </w:tcBorders>
          </w:tcPr>
          <w:p>
            <w:pPr>
              <w:pStyle w:val="Normal"/>
              <w:rPr>
                <w:rFonts w:eastAsia="Garamond"/>
              </w:rPr>
            </w:pPr>
            <w:r>
              <w:rPr>
                <w:rFonts w:eastAsia="Garamond"/>
              </w:rPr>
              <w:t xml:space="preserve"> </w:t>
            </w:r>
          </w:p>
        </w:tc>
        <w:tc>
          <w:tcPr>
            <w:tcW w:w="1596" w:type="dxa"/>
            <w:tcBorders>
              <w:top w:val="single" w:sz="4" w:space="0" w:color="000000"/>
              <w:start w:val="single" w:sz="4" w:space="0" w:color="000000"/>
              <w:end w:val="single" w:sz="4" w:space="0" w:color="000000"/>
            </w:tcBorders>
          </w:tcPr>
          <w:p>
            <w:pPr>
              <w:pStyle w:val="Normal"/>
              <w:rPr>
                <w:rFonts w:eastAsia="Garamond"/>
              </w:rPr>
            </w:pPr>
            <w:r>
              <w:rPr>
                <w:rFonts w:eastAsia="Garamond"/>
              </w:rPr>
              <w:t xml:space="preserve"> </w:t>
            </w:r>
          </w:p>
        </w:tc>
        <w:tc>
          <w:tcPr>
            <w:tcW w:w="1800" w:type="dxa"/>
            <w:tcBorders>
              <w:top w:val="single" w:sz="4" w:space="0" w:color="000000"/>
              <w:start w:val="single" w:sz="4" w:space="0" w:color="000000"/>
              <w:end w:val="single" w:sz="4" w:space="0" w:color="000000"/>
            </w:tcBorders>
          </w:tcPr>
          <w:p>
            <w:pPr>
              <w:pStyle w:val="Normal"/>
              <w:rPr/>
            </w:pPr>
            <w:r>
              <w:rPr>
                <w:color w:val="FF0000"/>
              </w:rPr>
              <w:t>MPC Oct. Mtg. Minutes published</w:t>
            </w:r>
            <w:r>
              <w:rPr/>
              <w:t>;</w:t>
            </w:r>
          </w:p>
          <w:p>
            <w:pPr>
              <w:pStyle w:val="Normal"/>
              <w:rPr/>
            </w:pPr>
            <w:r>
              <w:rPr/>
            </w:r>
          </w:p>
          <w:p>
            <w:pPr>
              <w:pStyle w:val="Normal"/>
              <w:rPr/>
            </w:pPr>
            <w:r>
              <w:rPr/>
              <w:t>Unemployment Rate;</w:t>
            </w:r>
          </w:p>
          <w:p>
            <w:pPr>
              <w:pStyle w:val="Normal"/>
              <w:rPr/>
            </w:pPr>
            <w:r>
              <w:rPr/>
              <w:t>Avg. earnings</w:t>
            </w:r>
          </w:p>
        </w:tc>
        <w:tc>
          <w:tcPr>
            <w:tcW w:w="1710" w:type="dxa"/>
            <w:tcBorders>
              <w:top w:val="single" w:sz="4" w:space="0" w:color="000000"/>
              <w:start w:val="single" w:sz="4" w:space="0" w:color="000000"/>
              <w:end w:val="single" w:sz="4" w:space="0" w:color="000000"/>
            </w:tcBorders>
          </w:tcPr>
          <w:p>
            <w:pPr>
              <w:pStyle w:val="Normal"/>
              <w:rPr/>
            </w:pPr>
            <w:r>
              <w:rPr/>
              <w:t>Retail Sales;</w:t>
            </w:r>
          </w:p>
          <w:p>
            <w:pPr>
              <w:pStyle w:val="Normal"/>
              <w:rPr/>
            </w:pPr>
            <w:r>
              <w:rPr/>
              <w:t>M4 Money Supply;</w:t>
            </w:r>
          </w:p>
          <w:p>
            <w:pPr>
              <w:pStyle w:val="Normal"/>
              <w:rPr/>
            </w:pPr>
            <w:r>
              <w:rPr/>
              <w:t>Budget Deficit;</w:t>
            </w:r>
          </w:p>
          <w:p>
            <w:pPr>
              <w:pStyle w:val="Normal"/>
              <w:rPr/>
            </w:pPr>
            <w:r>
              <w:rPr/>
            </w:r>
          </w:p>
        </w:tc>
        <w:tc>
          <w:tcPr>
            <w:tcW w:w="1890" w:type="dxa"/>
            <w:tcBorders>
              <w:top w:val="single" w:sz="4" w:space="0" w:color="000000"/>
              <w:start w:val="single" w:sz="4" w:space="0" w:color="000000"/>
              <w:end w:val="single" w:sz="4" w:space="0" w:color="000000"/>
            </w:tcBorders>
          </w:tcPr>
          <w:p>
            <w:pPr>
              <w:pStyle w:val="Normal"/>
              <w:rPr/>
            </w:pPr>
            <w:r>
              <w:rPr/>
              <w:t>GDP</w:t>
            </w:r>
          </w:p>
        </w:tc>
      </w:tr>
      <w:tr>
        <w:trPr/>
        <w:tc>
          <w:tcPr>
            <w:tcW w:w="10188" w:type="dxa"/>
            <w:gridSpan w:val="7"/>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Asia/Pacific</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pPr>
            <w:r>
              <w:rPr/>
              <w:t>Housing Finance;</w:t>
            </w:r>
          </w:p>
          <w:p>
            <w:pPr>
              <w:pStyle w:val="Normal"/>
              <w:rPr/>
            </w:pPr>
            <w:r>
              <w:rPr/>
              <w:t>Export Price Indx</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NZ</w:t>
            </w:r>
          </w:p>
        </w:tc>
        <w:tc>
          <w:tcPr>
            <w:tcW w:w="207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(10/15) CPI</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(10/15) Food Price Indx</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rPr>
            </w:pPr>
            <w:r>
              <w:rPr>
                <w:rFonts w:cs="Garamond"/>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Retail Sales Experimental</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p>
            <w:pPr>
              <w:pStyle w:val="Normal"/>
              <w:rPr>
                <w:b/>
                <w:sz w:val="22"/>
              </w:rPr>
            </w:pPr>
            <w:r>
              <w:rPr>
                <w:b/>
                <w:sz w:val="22"/>
              </w:rPr>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(10/15) IP (MOM, Aug.);</w:t>
            </w:r>
          </w:p>
          <w:p>
            <w:pPr>
              <w:pStyle w:val="Normal"/>
              <w:rPr/>
            </w:pPr>
            <w:r>
              <w:rPr/>
            </w:r>
          </w:p>
          <w:p>
            <w:pPr>
              <w:pStyle w:val="Normal"/>
              <w:rPr/>
            </w:pPr>
            <w:r>
              <w:rPr/>
              <w:t>(10/15) Bankruptcies;</w:t>
            </w:r>
          </w:p>
          <w:p>
            <w:pPr>
              <w:pStyle w:val="Normal"/>
              <w:rPr/>
            </w:pPr>
            <w:r>
              <w:rPr/>
            </w:r>
          </w:p>
          <w:p>
            <w:pPr>
              <w:pStyle w:val="Normal"/>
              <w:rPr/>
            </w:pPr>
            <w:r>
              <w:rPr/>
              <w:t>(10/16) BOJ Mnthly. Econ. Assessmt. Report;</w:t>
            </w:r>
          </w:p>
          <w:p>
            <w:pPr>
              <w:pStyle w:val="Normal"/>
              <w:rPr/>
            </w:pPr>
            <w:r>
              <w:rPr/>
            </w:r>
          </w:p>
          <w:p>
            <w:pPr>
              <w:pStyle w:val="Normal"/>
              <w:rPr/>
            </w:pPr>
            <w:r>
              <w:rPr/>
              <w:t>(10/16) Tokyo Dept. Store Sales</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pPr>
            <w:r>
              <w:rPr/>
              <w:t>Mfg. Electricity Usage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color w:val="FF0000"/>
              </w:rPr>
              <w:t>BOJ Board Minutes from 14 Sept. mtg</w:t>
            </w:r>
            <w:r>
              <w:rPr/>
              <w:t>.;</w:t>
            </w:r>
          </w:p>
          <w:p>
            <w:pPr>
              <w:pStyle w:val="Normal"/>
              <w:rPr/>
            </w:pPr>
            <w:r>
              <w:rPr/>
            </w:r>
          </w:p>
          <w:p>
            <w:pPr>
              <w:pStyle w:val="Normal"/>
              <w:rPr/>
            </w:pPr>
            <w:r>
              <w:rPr>
                <w:color w:val="FF0000"/>
              </w:rPr>
              <w:t>Machine Tool Orders</w:t>
            </w:r>
            <w:r>
              <w:rPr/>
              <w:t>;</w:t>
            </w:r>
          </w:p>
          <w:p>
            <w:pPr>
              <w:pStyle w:val="Normal"/>
              <w:rPr/>
            </w:pPr>
            <w:r>
              <w:rPr/>
            </w:r>
          </w:p>
          <w:p>
            <w:pPr>
              <w:pStyle w:val="Normal"/>
              <w:rPr/>
            </w:pPr>
            <w:r>
              <w:rPr/>
              <w:t>Merch. Trade Bal.;</w:t>
            </w:r>
          </w:p>
          <w:p>
            <w:pPr>
              <w:pStyle w:val="Normal"/>
              <w:rPr/>
            </w:pPr>
            <w:r>
              <w:rPr/>
              <w:t>Adj. Merch Trd Bal;</w:t>
            </w:r>
          </w:p>
          <w:p>
            <w:pPr>
              <w:pStyle w:val="Normal"/>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Tertiary Industry Index</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rPr>
            </w:pPr>
            <w:r>
              <w:rPr>
                <w:rFonts w:cs="Garamond"/>
              </w:rPr>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pPr>
      <w:r>
        <w:rPr/>
      </w:r>
    </w:p>
    <w:sectPr>
      <w:headerReference w:type="default" r:id="rId6"/>
      <w:headerReference w:type="first" r:id="rId7"/>
      <w:footerReference w:type="default" r:id="rId8"/>
      <w:footerReference w:type="first" r:id="rId9"/>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Enron - For Internal Use Only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Enron – For Internal Use Only </w:t>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p>
    <w:pPr>
      <w:pStyle w:val="Footer"/>
      <w:rPr/>
    </w:pPr>
    <w:r>
      <w:rPr>
        <w:rStyle w:val="PageNumber"/>
        <w:rFonts w:eastAsia="Garamond"/>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40"/>
        <w:tab w:val="left" w:pos="270" w:leader="none"/>
        <w:tab w:val="left" w:pos="5760" w:leader="none"/>
      </w:tabs>
      <w:rPr>
        <w:b/>
        <w:sz w:val="24"/>
      </w:rPr>
    </w:pPr>
    <w:r>
      <w:rPr>
        <w:b/>
        <w:sz w:val="24"/>
      </w:rPr>
      <w:t>International economic review (13 October 2000)</w:t>
    </w:r>
  </w:p>
  <w:p>
    <w:pPr>
      <w:pStyle w:val="Header"/>
      <w:tabs>
        <w:tab w:val="clear" w:pos="240"/>
        <w:tab w:val="left" w:pos="270" w:leader="none"/>
        <w:tab w:val="left" w:pos="5760" w:leader="none"/>
      </w:tabs>
      <w:rPr>
        <w:b/>
        <w:sz w:val="24"/>
      </w:rPr>
    </w:pPr>
    <w:r>
      <w:rPr>
        <w:b/>
        <w:sz w:val="24"/>
      </w:rPr>
      <w:t>ENA Research Group, continued</w:t>
    </w:r>
  </w:p>
  <w:p>
    <w:pPr>
      <w:pStyle w:val="Header"/>
      <w:tabs>
        <w:tab w:val="clear" w:pos="240"/>
        <w:tab w:val="left" w:pos="270" w:leader="none"/>
        <w:tab w:val="left" w:pos="5760" w:leader="none"/>
      </w:tabs>
      <w:spacing w:before="0" w:after="60"/>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240"/>
        </w:tabs>
        <w:ind w:start="240" w:hanging="2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pacing w:val="-4"/>
      <w:sz w:val="20"/>
      <w:szCs w:val="20"/>
      <w:lang w:val="en-US" w:eastAsia="zh-CN" w:bidi="hi-IN"/>
    </w:rPr>
  </w:style>
  <w:style w:type="paragraph" w:styleId="Heading1">
    <w:name w:val="heading 1"/>
    <w:basedOn w:val="Normal"/>
    <w:next w:val="BodyText"/>
    <w:qFormat/>
    <w:pPr>
      <w:numPr>
        <w:ilvl w:val="0"/>
        <w:numId w:val="1"/>
      </w:numPr>
      <w:pBdr>
        <w:top w:val="single" w:sz="6" w:space="3" w:color="FFFFFF"/>
        <w:left w:val="single" w:sz="6" w:space="3" w:color="FFFFFF"/>
        <w:bottom w:val="single" w:sz="6" w:space="3" w:color="FFFFFF"/>
        <w:right w:val="single" w:sz="6" w:space="3" w:color="FFFFFF"/>
      </w:pBdr>
      <w:shd w:fill="E5E5E5" w:val="clear"/>
      <w:spacing w:before="0" w:after="160"/>
      <w:ind w:hanging="0" w:start="48" w:end="48"/>
      <w:outlineLvl w:val="0"/>
    </w:pPr>
    <w:rPr>
      <w:rFonts w:ascii="Arial Black" w:hAnsi="Arial Black" w:cs="Arial Black"/>
      <w:spacing w:val="-15"/>
      <w:sz w:val="22"/>
      <w:vertAlign w:val="superscript"/>
    </w:rPr>
  </w:style>
  <w:style w:type="paragraph" w:styleId="Heading2">
    <w:name w:val="heading 2"/>
    <w:basedOn w:val="Normal"/>
    <w:next w:val="BodyText"/>
    <w:qFormat/>
    <w:pPr>
      <w:numPr>
        <w:ilvl w:val="1"/>
        <w:numId w:val="1"/>
      </w:numPr>
      <w:spacing w:before="0" w:after="120"/>
      <w:outlineLvl w:val="1"/>
    </w:pPr>
    <w:rPr>
      <w:rFonts w:ascii="Arial Black" w:hAnsi="Arial Black" w:cs="Arial Black"/>
      <w:spacing w:val="-8"/>
      <w:sz w:val="18"/>
    </w:rPr>
  </w:style>
  <w:style w:type="paragraph" w:styleId="Heading3">
    <w:name w:val="heading 3"/>
    <w:basedOn w:val="Normal"/>
    <w:next w:val="BodyText"/>
    <w:qFormat/>
    <w:pPr>
      <w:numPr>
        <w:ilvl w:val="2"/>
        <w:numId w:val="1"/>
      </w:numPr>
      <w:spacing w:before="0" w:after="120"/>
      <w:outlineLvl w:val="2"/>
    </w:pPr>
    <w:rPr>
      <w:i/>
      <w:sz w:val="24"/>
    </w:rPr>
  </w:style>
  <w:style w:type="paragraph" w:styleId="Heading4">
    <w:name w:val="heading 4"/>
    <w:basedOn w:val="Normal"/>
    <w:next w:val="BodyText"/>
    <w:qFormat/>
    <w:pPr>
      <w:keepNext w:val="true"/>
      <w:numPr>
        <w:ilvl w:val="3"/>
        <w:numId w:val="1"/>
      </w:numPr>
      <w:spacing w:before="360" w:after="360"/>
      <w:ind w:hanging="0" w:start="24" w:end="-48"/>
      <w:outlineLvl w:val="3"/>
    </w:pPr>
    <w:rPr>
      <w:spacing w:val="-30"/>
      <w:sz w:val="52"/>
    </w:rPr>
  </w:style>
  <w:style w:type="paragraph" w:styleId="Heading5">
    <w:name w:val="heading 5"/>
    <w:basedOn w:val="Normal"/>
    <w:next w:val="BodyText"/>
    <w:qFormat/>
    <w:pPr>
      <w:keepNext w:val="true"/>
      <w:numPr>
        <w:ilvl w:val="4"/>
        <w:numId w:val="1"/>
      </w:numPr>
      <w:pBdr>
        <w:top w:val="single" w:sz="6" w:space="3" w:color="FFFFFF"/>
        <w:left w:val="single" w:sz="6" w:space="3" w:color="FFFFFF"/>
        <w:bottom w:val="single" w:sz="6" w:space="3" w:color="FFFFFF"/>
        <w:right w:val="single" w:sz="6" w:space="3" w:color="FFFFFF"/>
      </w:pBdr>
      <w:shd w:fill="B2B2B2" w:val="clear"/>
      <w:ind w:hanging="0" w:start="60" w:end="0"/>
      <w:outlineLvl w:val="4"/>
    </w:pPr>
    <w:rPr>
      <w:rFonts w:ascii="Arial Black" w:hAnsi="Arial Black" w:cs="Arial Black"/>
      <w:color w:val="FFFFFF"/>
      <w:spacing w:val="-15"/>
      <w:sz w:val="24"/>
      <w:vertAlign w:val="superscript"/>
    </w:rPr>
  </w:style>
  <w:style w:type="paragraph" w:styleId="Heading6">
    <w:name w:val="heading 6"/>
    <w:basedOn w:val="Normal"/>
    <w:next w:val="BodyText"/>
    <w:qFormat/>
    <w:pPr>
      <w:numPr>
        <w:ilvl w:val="5"/>
        <w:numId w:val="1"/>
      </w:numPr>
      <w:spacing w:before="0" w:after="120"/>
      <w:jc w:val="both"/>
      <w:outlineLvl w:val="5"/>
    </w:pPr>
    <w:rPr>
      <w:rFonts w:ascii="Arial Black" w:hAnsi="Arial Black" w:cs="Arial Black"/>
      <w:spacing w:val="-8"/>
      <w:sz w:val="18"/>
    </w:rPr>
  </w:style>
  <w:style w:type="paragraph" w:styleId="Heading7">
    <w:name w:val="heading 7"/>
    <w:basedOn w:val="Normal"/>
    <w:next w:val="BodyText"/>
    <w:qFormat/>
    <w:pPr>
      <w:numPr>
        <w:ilvl w:val="6"/>
        <w:numId w:val="1"/>
      </w:numPr>
      <w:spacing w:before="0" w:after="360"/>
      <w:jc w:val="both"/>
      <w:outlineLvl w:val="6"/>
    </w:pPr>
    <w:rPr>
      <w:sz w:val="22"/>
    </w:rPr>
  </w:style>
  <w:style w:type="paragraph" w:styleId="Heading8">
    <w:name w:val="heading 8"/>
    <w:basedOn w:val="Normal"/>
    <w:next w:val="Normal"/>
    <w:qFormat/>
    <w:pPr>
      <w:numPr>
        <w:ilvl w:val="7"/>
        <w:numId w:val="1"/>
      </w:numPr>
      <w:spacing w:before="2540" w:after="0"/>
      <w:outlineLvl w:val="7"/>
    </w:pPr>
    <w:rPr>
      <w:i/>
      <w:spacing w:val="-10"/>
      <w:sz w:val="44"/>
    </w:rPr>
  </w:style>
  <w:style w:type="paragraph" w:styleId="Heading9">
    <w:name w:val="heading 9"/>
    <w:basedOn w:val="Normal"/>
    <w:next w:val="Normal"/>
    <w:qFormat/>
    <w:pPr>
      <w:keepNext w:val="true"/>
      <w:numPr>
        <w:ilvl w:val="8"/>
        <w:numId w:val="1"/>
      </w:numPr>
      <w:outlineLvl w:val="8"/>
    </w:pPr>
    <w:rPr>
      <w:b/>
      <w:color w:val="FFFFFF"/>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sz w:val="16"/>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DefaultParagraphFont">
    <w:name w:val="Default Paragraph Font"/>
    <w:qFormat/>
    <w:rPr/>
  </w:style>
  <w:style w:type="character" w:styleId="PageNumber">
    <w:name w:val="page number"/>
    <w:rPr/>
  </w:style>
  <w:style w:type="character" w:styleId="Emphasis">
    <w:name w:val="Emphasis"/>
    <w:basedOn w:val="DefaultParagraphFont"/>
    <w:qFormat/>
    <w:rPr>
      <w:rFonts w:ascii="Arial Black" w:hAnsi="Arial Black" w:cs="Arial Black"/>
      <w:spacing w:val="-8"/>
      <w:sz w:val="18"/>
    </w:rPr>
  </w:style>
  <w:style w:type="character" w:styleId="Lead-inEmphasis">
    <w:name w:val="Lead-in Emphasis"/>
    <w:basedOn w:val="DefaultParagraphFont"/>
    <w:qFormat/>
    <w:rPr>
      <w:caps/>
      <w:spacing w:val="20"/>
      <w:sz w:val="16"/>
    </w:rPr>
  </w:style>
  <w:style w:type="paragraph" w:styleId="Heading">
    <w:name w:val="Heading"/>
    <w:basedOn w:val="Normal"/>
    <w:next w:val="Subtitle"/>
    <w:qFormat/>
    <w:pPr>
      <w:pBdr>
        <w:top w:val="single" w:sz="48" w:space="24" w:color="C0C0C0"/>
      </w:pBdr>
      <w:spacing w:lineRule="exact" w:line="380" w:before="40" w:after="20"/>
    </w:pPr>
    <w:rPr>
      <w:rFonts w:ascii="Arial Black" w:hAnsi="Arial Black" w:cs="Arial Black"/>
      <w:spacing w:val="-25"/>
      <w:kern w:val="2"/>
      <w:sz w:val="36"/>
    </w:rPr>
  </w:style>
  <w:style w:type="paragraph" w:styleId="BodyText">
    <w:name w:val="Body Text"/>
    <w:basedOn w:val="Normal"/>
    <w:pPr>
      <w:ind w:firstLine="240" w:start="0" w:end="0"/>
      <w:jc w:val="both"/>
    </w:pPr>
    <w:rPr>
      <w:sz w:val="22"/>
    </w:rPr>
  </w:style>
  <w:style w:type="paragraph" w:styleId="List">
    <w:name w:val="List"/>
    <w:basedOn w:val="Normal"/>
    <w:pPr>
      <w:numPr>
        <w:ilvl w:val="0"/>
        <w:numId w:val="11"/>
      </w:numPr>
      <w:spacing w:before="0" w:after="120"/>
      <w:jc w:val="both"/>
    </w:pPr>
    <w:rPr>
      <w:sz w:val="22"/>
    </w:rPr>
  </w:style>
  <w:style w:type="paragraph" w:styleId="Caption">
    <w:name w:val="caption"/>
    <w:basedOn w:val="Normal"/>
    <w:next w:val="BodyText"/>
    <w:qFormat/>
    <w:pPr>
      <w:spacing w:lineRule="atLeast" w:line="200" w:before="0" w:after="120"/>
      <w:jc w:val="both"/>
    </w:pPr>
    <w:rPr>
      <w:rFonts w:ascii="Arial Black" w:hAnsi="Arial Black" w:cs="Arial Black"/>
      <w:sz w:val="1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pacing w:val="-4"/>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240" w:leader="none"/>
      </w:tabs>
      <w:spacing w:before="0" w:after="60"/>
    </w:pPr>
    <w:rPr>
      <w:caps/>
      <w:sz w:val="18"/>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60"/>
      <w:ind w:firstLine="240" w:start="0" w:end="0"/>
      <w:jc w:val="both"/>
    </w:pPr>
    <w:rPr>
      <w:sz w:val="22"/>
    </w:rPr>
  </w:style>
  <w:style w:type="paragraph" w:styleId="BodyTextKeep">
    <w:name w:val="Body Text Keep"/>
    <w:basedOn w:val="BodyText"/>
    <w:next w:val="BodyText"/>
    <w:qFormat/>
    <w:pPr>
      <w:spacing w:before="0" w:after="320"/>
    </w:pPr>
    <w:rPr/>
  </w:style>
  <w:style w:type="paragraph" w:styleId="ListBullet21">
    <w:name w:val="List Bullet 21"/>
    <w:basedOn w:val="Normal"/>
    <w:qFormat/>
    <w:pPr>
      <w:numPr>
        <w:ilvl w:val="0"/>
        <w:numId w:val="9"/>
      </w:numPr>
      <w:ind w:hanging="240" w:start="240" w:end="0"/>
    </w:pPr>
    <w:rPr>
      <w:rFonts w:ascii="Arial Black" w:hAnsi="Arial Black" w:cs="Arial Black"/>
      <w:spacing w:val="-10"/>
      <w:sz w:val="18"/>
    </w:rPr>
  </w:style>
  <w:style w:type="paragraph" w:styleId="ListBullet2">
    <w:name w:val="List Bullet 2"/>
    <w:basedOn w:val="Normal"/>
    <w:pPr>
      <w:numPr>
        <w:ilvl w:val="0"/>
        <w:numId w:val="10"/>
      </w:numPr>
      <w:spacing w:lineRule="atLeast" w:line="300"/>
    </w:pPr>
    <w:rPr>
      <w:rFonts w:ascii="Arial Black" w:hAnsi="Arial Black" w:cs="Arial Black"/>
      <w:spacing w:val="-10"/>
      <w:sz w:val="18"/>
    </w:rPr>
  </w:style>
  <w:style w:type="paragraph" w:styleId="DocumentLabel">
    <w:name w:val="Document Label"/>
    <w:basedOn w:val="Normal"/>
    <w:next w:val="BodyText"/>
    <w:qFormat/>
    <w:pPr>
      <w:pBdr>
        <w:top w:val="single" w:sz="6" w:space="6" w:color="000000"/>
        <w:bottom w:val="single" w:sz="6" w:space="6" w:color="000000"/>
      </w:pBdr>
      <w:spacing w:lineRule="exact" w:line="1500" w:before="120" w:after="0"/>
      <w:ind w:hanging="0" w:start="36" w:end="0"/>
    </w:pPr>
    <w:rPr>
      <w:rFonts w:ascii="Arial Black" w:hAnsi="Arial Black" w:cs="Arial Black"/>
      <w:color w:val="808080"/>
      <w:spacing w:val="-110"/>
      <w:sz w:val="144"/>
    </w:rPr>
  </w:style>
  <w:style w:type="paragraph" w:styleId="Picture2">
    <w:name w:val="Picture 2"/>
    <w:basedOn w:val="Normal"/>
    <w:next w:val="BodyText"/>
    <w:qFormat/>
    <w:pPr/>
    <w:rPr>
      <w:spacing w:val="-25"/>
      <w:sz w:val="48"/>
    </w:rPr>
  </w:style>
  <w:style w:type="paragraph" w:styleId="Subtitle">
    <w:name w:val="Subtitle"/>
    <w:basedOn w:val="Normal"/>
    <w:next w:val="BodyText"/>
    <w:qFormat/>
    <w:pPr>
      <w:spacing w:lineRule="atLeast" w:line="280" w:before="0" w:after="480"/>
    </w:pPr>
    <w:rPr>
      <w:i/>
      <w:spacing w:val="-5"/>
      <w:sz w:val="28"/>
    </w:rPr>
  </w:style>
  <w:style w:type="paragraph" w:styleId="Picture">
    <w:name w:val="Picture"/>
    <w:basedOn w:val="Normal"/>
    <w:next w:val="Caption"/>
    <w:qFormat/>
    <w:pPr>
      <w:spacing w:lineRule="atLeast" w:line="200" w:before="0" w:after="160"/>
      <w:jc w:val="both"/>
    </w:pPr>
    <w:rPr/>
  </w:style>
  <w:style w:type="paragraph" w:styleId="ListBullet">
    <w:name w:val="List Bullet"/>
    <w:basedOn w:val="Normal"/>
    <w:qFormat/>
    <w:pPr>
      <w:numPr>
        <w:ilvl w:val="0"/>
        <w:numId w:val="12"/>
      </w:numPr>
      <w:spacing w:before="0" w:after="120"/>
      <w:ind w:hanging="240" w:start="240" w:end="0"/>
      <w:jc w:val="both"/>
    </w:pPr>
    <w:rPr>
      <w:sz w:val="22"/>
    </w:rPr>
  </w:style>
  <w:style w:type="paragraph" w:styleId="ReturnAddress">
    <w:name w:val="Return Address"/>
    <w:basedOn w:val="Normal"/>
    <w:qFormat/>
    <w:pPr/>
    <w:rPr>
      <w:sz w:val="22"/>
    </w:rPr>
  </w:style>
  <w:style w:type="paragraph" w:styleId="BodyText2">
    <w:name w:val="Body Text 2"/>
    <w:basedOn w:val="Normal"/>
    <w:qFormat/>
    <w:pPr/>
    <w:rPr>
      <w:color w:val="FF000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2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2000-10-13T13:50:00Z</dcterms:created>
  <dc:creator>gkoepke</dc:creator>
  <dc:description/>
  <dc:language>en-CA</dc:language>
  <cp:lastModifiedBy>gkoepke</cp:lastModifiedBy>
  <cp:lastPrinted>2000-10-13T11:34:00Z</cp:lastPrinted>
  <dcterms:modified xsi:type="dcterms:W3CDTF">2000-10-13T14:43:00Z</dcterms:modified>
  <cp:revision>4</cp:revision>
  <dc:subject/>
  <dc:title/>
</cp:coreProperties>
</file>