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2" w:hRule="atLeast"/>
        </w:trPr>
        <w:tc>
          <w:tcPr>
            <w:tcW w:w="708" w:type="dxa"/>
            <w:tcBorders/>
          </w:tcPr>
          <w:p>
            <w:pPr>
              <w:pStyle w:val="Normal"/>
              <w:ind w:start="-180" w:end="0"/>
              <w:jc w:val="end"/>
              <w:rPr>
                <w:sz w:val="16"/>
              </w:rPr>
            </w:pPr>
            <w:r>
              <w:rPr>
                <w:sz w:val="16"/>
              </w:rPr>
              <w:t>To:</w:t>
            </w:r>
          </w:p>
        </w:tc>
        <w:tc>
          <w:tcPr>
            <w:tcW w:w="6045" w:type="dxa"/>
            <w:tcBorders/>
          </w:tcPr>
          <w:p>
            <w:pPr>
              <w:pStyle w:val="To"/>
              <w:rPr/>
            </w:pPr>
            <w:r>
              <w:rPr/>
              <w:t xml:space="preserve">A. Koehler, B. Gray, J. Coffey, B. Hall, J. Deffner, R. Dutt, A. E. </w:t>
            </w:r>
          </w:p>
          <w:p>
            <w:pPr>
              <w:pStyle w:val="To"/>
              <w:rPr/>
            </w:pPr>
            <w:r>
              <w:rPr/>
              <w:t>White, S. Braband, F. Mayes, T. Rohauer, T. Yanowski,</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p>
            <w:pPr>
              <w:pStyle w:val="Normal"/>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 Redmond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HPL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HPL Closing 1 June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Normal"/>
        <w:tabs>
          <w:tab w:val="clear" w:pos="540"/>
        </w:tabs>
        <w:overflowPunct w:val="true"/>
        <w:textAlignment w:val="auto"/>
        <w:rPr>
          <w:rFonts w:cs="Arial"/>
          <w:sz w:val="20"/>
        </w:rPr>
      </w:pPr>
      <w:r>
        <w:rPr>
          <w:rFonts w:cs="Arial"/>
          <w:sz w:val="20"/>
        </w:rPr>
      </w:r>
      <w:bookmarkStart w:id="1" w:name="StartOfMemo"/>
      <w:bookmarkStart w:id="2" w:name="StartOfMemo"/>
      <w:bookmarkEnd w:id="2"/>
    </w:p>
    <w:p>
      <w:pPr>
        <w:pStyle w:val="Normal"/>
        <w:tabs>
          <w:tab w:val="clear" w:pos="540"/>
        </w:tabs>
        <w:overflowPunct w:val="true"/>
        <w:textAlignment w:val="auto"/>
        <w:rPr>
          <w:rFonts w:cs="Arial"/>
          <w:sz w:val="20"/>
        </w:rPr>
      </w:pPr>
      <w:r>
        <w:rPr>
          <w:rFonts w:cs="Arial"/>
          <w:sz w:val="20"/>
        </w:rPr>
        <w:t>Please find a summary of the action items from our Thursday/Friday meetings with AEP.  We are on track to Close on 1 June, and we need to get these completed.  Please let me know if there is any chance that these will not be done, or if additional resources are needed.</w:t>
      </w:r>
    </w:p>
    <w:p>
      <w:pPr>
        <w:pStyle w:val="Normal"/>
        <w:tabs>
          <w:tab w:val="clear" w:pos="540"/>
        </w:tabs>
        <w:overflowPunct w:val="true"/>
        <w:textAlignment w:val="auto"/>
        <w:rPr>
          <w:rFonts w:cs="Arial"/>
          <w:sz w:val="20"/>
        </w:rPr>
      </w:pPr>
      <w:r>
        <w:rPr>
          <w:rFonts w:cs="Arial"/>
          <w:sz w:val="20"/>
        </w:rPr>
      </w:r>
    </w:p>
    <w:p>
      <w:pPr>
        <w:pStyle w:val="Subject"/>
        <w:numPr>
          <w:ilvl w:val="0"/>
          <w:numId w:val="2"/>
        </w:numPr>
        <w:overflowPunct w:val="true"/>
        <w:textAlignment w:val="auto"/>
        <w:rPr>
          <w:rFonts w:cs="Arial"/>
        </w:rPr>
      </w:pPr>
      <w:r>
        <w:rPr>
          <w:rFonts w:cs="Arial"/>
        </w:rPr>
        <w:t>Prepare Closing document check list (A. Koehler)</w:t>
      </w:r>
    </w:p>
    <w:p>
      <w:pPr>
        <w:pStyle w:val="Subject"/>
        <w:overflowPunct w:val="true"/>
        <w:textAlignment w:val="auto"/>
        <w:rPr>
          <w:rFonts w:cs="Arial"/>
        </w:rPr>
      </w:pPr>
      <w:r>
        <w:rPr>
          <w:rFonts w:cs="Arial"/>
        </w:rPr>
      </w:r>
    </w:p>
    <w:p>
      <w:pPr>
        <w:pStyle w:val="Subject"/>
        <w:numPr>
          <w:ilvl w:val="0"/>
          <w:numId w:val="2"/>
        </w:numPr>
        <w:overflowPunct w:val="true"/>
        <w:textAlignment w:val="auto"/>
        <w:rPr/>
      </w:pPr>
      <w:r>
        <w:rPr/>
        <w:t>Finance Unwinds: (J. Deffner/R. Dutt): Get this done!  (B. Redmond): Get Dukes signature for Mid Texas Line and HMS signature for Rock unwind.</w:t>
      </w:r>
    </w:p>
    <w:p>
      <w:pPr>
        <w:pStyle w:val="Subject"/>
        <w:overflowPunct w:val="true"/>
        <w:textAlignment w:val="auto"/>
        <w:rPr/>
      </w:pPr>
      <w:r>
        <w:rPr/>
      </w:r>
    </w:p>
    <w:p>
      <w:pPr>
        <w:pStyle w:val="Subject"/>
        <w:numPr>
          <w:ilvl w:val="0"/>
          <w:numId w:val="2"/>
        </w:numPr>
        <w:overflowPunct w:val="true"/>
        <w:textAlignment w:val="auto"/>
        <w:rPr>
          <w:rFonts w:cs="Arial"/>
        </w:rPr>
      </w:pPr>
      <w:r>
        <w:rPr/>
        <w:t>Lease terms for 1201 Louisiana:  (B. Gray/A. Koehler):  Revise to reflect AEP making up front payment for fixed costs and month-to-month lease of space.  Send to AEP</w:t>
      </w:r>
    </w:p>
    <w:p>
      <w:pPr>
        <w:pStyle w:val="Subject"/>
        <w:overflowPunct w:val="true"/>
        <w:textAlignment w:val="auto"/>
        <w:rPr>
          <w:rFonts w:cs="Arial"/>
        </w:rPr>
      </w:pPr>
      <w:r>
        <w:rPr>
          <w:rFonts w:cs="Arial"/>
        </w:rPr>
      </w:r>
    </w:p>
    <w:p>
      <w:pPr>
        <w:pStyle w:val="Subject"/>
        <w:numPr>
          <w:ilvl w:val="0"/>
          <w:numId w:val="2"/>
        </w:numPr>
        <w:overflowPunct w:val="true"/>
        <w:textAlignment w:val="auto"/>
        <w:rPr>
          <w:rFonts w:cs="Arial"/>
        </w:rPr>
      </w:pPr>
      <w:r>
        <w:rPr>
          <w:rFonts w:cs="Arial"/>
        </w:rPr>
        <w:t>Interest payment in exchange for Coastline lawsuit: (B. Redmond/A. Koehler): Ensure we have solid legal argument (they want to arbitrate this unless we can work out a deal).  Push D. Hart for a response on the Coastline proposal.  (A. Edison): Send information to AEP counsel on Coastline suit.</w:t>
      </w:r>
    </w:p>
    <w:p>
      <w:pPr>
        <w:pStyle w:val="Subject"/>
        <w:overflowPunct w:val="true"/>
        <w:textAlignment w:val="auto"/>
        <w:rPr>
          <w:rFonts w:cs="Arial"/>
        </w:rPr>
      </w:pPr>
      <w:r>
        <w:rPr>
          <w:rFonts w:cs="Arial"/>
        </w:rPr>
      </w:r>
    </w:p>
    <w:p>
      <w:pPr>
        <w:pStyle w:val="Normal"/>
        <w:numPr>
          <w:ilvl w:val="0"/>
          <w:numId w:val="2"/>
        </w:numPr>
        <w:tabs>
          <w:tab w:val="clear" w:pos="540"/>
        </w:tabs>
        <w:overflowPunct w:val="true"/>
        <w:textAlignment w:val="auto"/>
        <w:rPr>
          <w:rFonts w:cs="Arial"/>
          <w:sz w:val="20"/>
        </w:rPr>
      </w:pPr>
      <w:r>
        <w:rPr>
          <w:rFonts w:cs="Arial"/>
          <w:sz w:val="20"/>
        </w:rPr>
        <w:t>Shift of $20MM from Lease Payment to Purchase Price: (A. Koehler): Get Enron signature and forward signed document to AEP.</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 xml:space="preserve">Discretionary Capital Expenditures Pre-Close: (J. Coffey) Work with B. Riley and G. Braztis to prepare new schedule and send to Enron/AEP for review.  </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Texas AG Office/DoJ:  (B. Gray): Get status on official sign-off</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Entex Topics / Imbalances: (B. Redmond/J. Coffey/A. Koehler):  J. Coffey to provide schedule of outstanding imbalances projected at Close.  B. Redmond to draft formal proposal to AEP based on our discussions last week.  A. Koehler to review and send to AEP.</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Bid Week Procedures (B. Gray/A. Koehler):  Get Monday sign off from all parties based on last weeks discussions.</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Books and Records (A. Koehler) Forward revisions to retention schedule based on last weeks meetings.  Work with Molly to ensure boxes of current records are delivered to the 11</w:t>
      </w:r>
      <w:r>
        <w:rPr>
          <w:rFonts w:cs="Arial"/>
          <w:sz w:val="20"/>
          <w:vertAlign w:val="superscript"/>
        </w:rPr>
        <w:t>th</w:t>
      </w:r>
      <w:r>
        <w:rPr>
          <w:rFonts w:cs="Arial"/>
          <w:sz w:val="20"/>
        </w:rPr>
        <w:t xml:space="preserve"> floor of 1201 Louisiana.</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Lehman Dehy Facilities and Environmental Penalties (N. Cocavessis):  Get TNRCC sign off on facilities installations required to remedy emissions infringement.  Get TNRCC to quantify penalty.</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 xml:space="preserve">Spinnaker Gas Deliveries: (A.E. White): Letter to Spinnaker preserving HPL’s rights. </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A/S Pipeline: (A. Koehler): Revision to P&amp;SA sent to AEP providing limited indemnity to satisfy Closing condition.</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P&amp;SA Schedules:  (S. Braband):  Send corrections to AEP on Schedules sent last week (see A. Koehler for details).</w:t>
      </w:r>
    </w:p>
    <w:p>
      <w:pPr>
        <w:pStyle w:val="Normal"/>
        <w:tabs>
          <w:tab w:val="clear" w:pos="540"/>
        </w:tabs>
        <w:overflowPunct w:val="true"/>
        <w:textAlignment w:val="auto"/>
        <w:rPr>
          <w:rFonts w:cs="Arial"/>
          <w:sz w:val="20"/>
        </w:rPr>
      </w:pPr>
      <w:r>
        <w:rPr>
          <w:rFonts w:cs="Arial"/>
          <w:sz w:val="20"/>
        </w:rPr>
      </w:r>
    </w:p>
    <w:p>
      <w:pPr>
        <w:pStyle w:val="Normal"/>
        <w:tabs>
          <w:tab w:val="clear" w:pos="540"/>
        </w:tabs>
        <w:overflowPunct w:val="true"/>
        <w:textAlignment w:val="auto"/>
        <w:rPr>
          <w:rFonts w:cs="Arial"/>
          <w:sz w:val="20"/>
        </w:rPr>
      </w:pPr>
      <w:r>
        <w:rPr>
          <w:rFonts w:cs="Arial"/>
          <w:sz w:val="20"/>
        </w:rPr>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Outstanding HR matters:  (F. Mayes):  Prepare for cut over of payroll system and issuance of incentive awards.</w:t>
      </w:r>
    </w:p>
    <w:p>
      <w:pPr>
        <w:pStyle w:val="Subject"/>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Guarantees: (T. Rohauer):  Send revised schedules to AEP per last weeks discussions.</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Non-Standard Systems (T. Yanowski):  Send matrix of licenses to AEP.</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IT CP Letter (B. Gray/B. Redmond):  Send letter to AEP stating that we have met IT conditions precedent.</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True up of system development costs: (T. Yanowski):  Send invoice to AEP for system development costs.</w:t>
      </w:r>
    </w:p>
    <w:p>
      <w:pPr>
        <w:pStyle w:val="Normal"/>
        <w:tabs>
          <w:tab w:val="clear" w:pos="540"/>
        </w:tabs>
        <w:overflowPunct w:val="true"/>
        <w:textAlignment w:val="auto"/>
        <w:rPr>
          <w:rFonts w:cs="Arial"/>
          <w:sz w:val="20"/>
        </w:rPr>
      </w:pPr>
      <w:r>
        <w:rPr>
          <w:rFonts w:cs="Arial"/>
          <w:sz w:val="20"/>
        </w:rPr>
      </w:r>
    </w:p>
    <w:p>
      <w:pPr>
        <w:pStyle w:val="Normal"/>
        <w:numPr>
          <w:ilvl w:val="0"/>
          <w:numId w:val="2"/>
        </w:numPr>
        <w:tabs>
          <w:tab w:val="clear" w:pos="540"/>
        </w:tabs>
        <w:overflowPunct w:val="true"/>
        <w:textAlignment w:val="auto"/>
        <w:rPr>
          <w:rFonts w:cs="Arial"/>
          <w:sz w:val="20"/>
        </w:rPr>
      </w:pPr>
      <w:r>
        <w:rPr>
          <w:rFonts w:cs="Arial"/>
          <w:sz w:val="20"/>
        </w:rPr>
        <w:t>Revise and execute Protocols based on last weeks discussions (J. Coffey/B. Hall):</w:t>
      </w:r>
    </w:p>
    <w:p>
      <w:pPr>
        <w:pStyle w:val="Normal"/>
        <w:tabs>
          <w:tab w:val="clear" w:pos="540"/>
        </w:tabs>
        <w:overflowPunct w:val="true"/>
        <w:textAlignment w:val="auto"/>
        <w:rPr>
          <w:rFonts w:cs="Arial"/>
          <w:sz w:val="20"/>
        </w:rPr>
      </w:pPr>
      <w:r>
        <w:rPr>
          <w:rFonts w:cs="Arial"/>
          <w:sz w:val="20"/>
        </w:rPr>
      </w:r>
    </w:p>
    <w:p>
      <w:pPr>
        <w:pStyle w:val="Normal"/>
        <w:numPr>
          <w:ilvl w:val="1"/>
          <w:numId w:val="2"/>
        </w:numPr>
        <w:tabs>
          <w:tab w:val="clear" w:pos="540"/>
        </w:tabs>
        <w:overflowPunct w:val="true"/>
        <w:textAlignment w:val="auto"/>
        <w:rPr>
          <w:rFonts w:cs="Arial"/>
          <w:sz w:val="20"/>
        </w:rPr>
      </w:pPr>
      <w:r>
        <w:rPr>
          <w:rFonts w:cs="Arial"/>
          <w:sz w:val="20"/>
        </w:rPr>
        <w:t xml:space="preserve">Back Office Functions Pre and Post Close Sale </w:t>
      </w:r>
    </w:p>
    <w:p>
      <w:pPr>
        <w:pStyle w:val="Normal"/>
        <w:numPr>
          <w:ilvl w:val="1"/>
          <w:numId w:val="2"/>
        </w:numPr>
        <w:tabs>
          <w:tab w:val="clear" w:pos="540"/>
        </w:tabs>
        <w:overflowPunct w:val="true"/>
        <w:textAlignment w:val="auto"/>
        <w:rPr>
          <w:rFonts w:cs="Arial"/>
          <w:sz w:val="20"/>
        </w:rPr>
      </w:pPr>
      <w:r>
        <w:rPr>
          <w:rFonts w:cs="Arial"/>
          <w:sz w:val="20"/>
        </w:rPr>
        <w:t>Global Counterparty System Procedures</w:t>
      </w:r>
    </w:p>
    <w:p>
      <w:pPr>
        <w:pStyle w:val="Normal"/>
        <w:numPr>
          <w:ilvl w:val="1"/>
          <w:numId w:val="2"/>
        </w:numPr>
        <w:tabs>
          <w:tab w:val="clear" w:pos="540"/>
        </w:tabs>
        <w:overflowPunct w:val="true"/>
        <w:textAlignment w:val="auto"/>
        <w:rPr>
          <w:rFonts w:cs="Arial"/>
          <w:sz w:val="20"/>
        </w:rPr>
      </w:pPr>
      <w:r>
        <w:rPr>
          <w:rFonts w:cs="Arial"/>
          <w:sz w:val="20"/>
        </w:rPr>
        <w:t>PP&amp;E Protocol</w:t>
      </w:r>
    </w:p>
    <w:p>
      <w:pPr>
        <w:pStyle w:val="Normal"/>
        <w:numPr>
          <w:ilvl w:val="1"/>
          <w:numId w:val="2"/>
        </w:numPr>
        <w:tabs>
          <w:tab w:val="clear" w:pos="540"/>
        </w:tabs>
        <w:overflowPunct w:val="true"/>
        <w:textAlignment w:val="auto"/>
        <w:rPr>
          <w:rFonts w:cs="Arial"/>
          <w:sz w:val="20"/>
        </w:rPr>
      </w:pPr>
      <w:r>
        <w:rPr>
          <w:rFonts w:cs="Arial"/>
          <w:sz w:val="20"/>
        </w:rPr>
        <w:t>Procurement and Material Management Protocol</w:t>
      </w:r>
    </w:p>
    <w:p>
      <w:pPr>
        <w:pStyle w:val="Normal"/>
        <w:tabs>
          <w:tab w:val="clear" w:pos="540"/>
        </w:tabs>
        <w:overflowPunct w:val="true"/>
        <w:textAlignment w:val="auto"/>
        <w:rPr>
          <w:rFonts w:cs="Arial"/>
          <w:sz w:val="20"/>
        </w:rPr>
      </w:pPr>
      <w:r>
        <w:rPr>
          <w:rFonts w:cs="Arial"/>
          <w:sz w:val="20"/>
        </w:rPr>
      </w:r>
    </w:p>
    <w:p>
      <w:pPr>
        <w:pStyle w:val="Normal"/>
        <w:tabs>
          <w:tab w:val="clear" w:pos="540"/>
        </w:tabs>
        <w:overflowPunct w:val="true"/>
        <w:textAlignment w:val="auto"/>
        <w:rPr>
          <w:rFonts w:cs="Arial"/>
          <w:sz w:val="20"/>
        </w:rPr>
      </w:pPr>
      <w:r>
        <w:rPr>
          <w:rFonts w:cs="Arial"/>
          <w:sz w:val="20"/>
        </w:rPr>
      </w:r>
    </w:p>
    <w:p>
      <w:pPr>
        <w:pStyle w:val="Body"/>
        <w:rPr>
          <w:rFonts w:cs="Arial"/>
          <w:sz w:val="20"/>
        </w:rPr>
      </w:pPr>
      <w:r>
        <w:rPr>
          <w:rFonts w:cs="Arial"/>
          <w:sz w:val="20"/>
        </w:rPr>
      </w:r>
    </w:p>
    <w:p>
      <w:pPr>
        <w:pStyle w:val="CopyList"/>
        <w:rPr/>
      </w:pPr>
      <w:r>
        <w:rPr/>
        <w:t>CC:</w:t>
      </w:r>
    </w:p>
    <w:p>
      <w:pPr>
        <w:pStyle w:val="CopyList"/>
        <w:rPr/>
      </w:pPr>
      <w:r>
        <w:rPr/>
        <w:t>L. Kitchen</w:t>
      </w:r>
    </w:p>
    <w:p>
      <w:pPr>
        <w:pStyle w:val="CopyList"/>
        <w:rPr/>
      </w:pPr>
      <w:r>
        <w:rPr/>
        <w:t>J. Lavorato</w:t>
      </w:r>
    </w:p>
    <w:p>
      <w:pPr>
        <w:pStyle w:val="CopyList"/>
        <w:rPr/>
      </w:pPr>
      <w:r>
        <w:rPr/>
        <w:t>M. Haedicke</w:t>
      </w:r>
    </w:p>
    <w:p>
      <w:pPr>
        <w:pStyle w:val="CopyList"/>
        <w:rPr/>
      </w:pPr>
      <w:r>
        <w:rPr/>
        <w:t>W. Colwell</w:t>
      </w:r>
    </w:p>
    <w:p>
      <w:pPr>
        <w:pStyle w:val="CopyList"/>
        <w:rPr/>
      </w:pPr>
      <w:r>
        <w:rPr/>
        <w:t>P. Bibi</w:t>
      </w:r>
    </w:p>
    <w:p>
      <w:pPr>
        <w:pStyle w:val="CopyList"/>
        <w:rPr/>
      </w:pPr>
      <w:r>
        <w:rPr/>
        <w:t>S. Beck</w:t>
      </w:r>
    </w:p>
    <w:p>
      <w:pPr>
        <w:pStyle w:val="CopyList"/>
        <w:rPr/>
      </w:pPr>
      <w:r>
        <w:rPr/>
        <w:t>D. Oxley</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overflowPunct w:val="true"/>
      <w:ind w:hanging="720" w:start="720" w:end="0"/>
      <w:textAlignment w:val="auto"/>
    </w:pPr>
    <w:rPr>
      <w:rFonts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2001-05-21T12:04:00Z</dcterms:created>
  <dc:creator>bredmon</dc:creator>
  <dc:description/>
  <dc:language>en-CA</dc:language>
  <cp:lastModifiedBy>bredmon</cp:lastModifiedBy>
  <cp:lastPrinted>2001-05-21T11:57:00Z</cp:lastPrinted>
  <dcterms:modified xsi:type="dcterms:W3CDTF">2001-05-21T14:27:00Z</dcterms:modified>
  <cp:revision>2</cp:revision>
  <dc:subject/>
  <dc:title>Better, Faster, Simpler Memo </dc:title>
</cp:coreProperties>
</file>