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rFonts w:cs="Arial"/>
        </w:rPr>
      </w:pPr>
      <w:r>
        <w:rPr>
          <w:rFonts w:cs="Arial"/>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rFonts w:cs="Arial"/>
        </w:rPr>
      </w:pPr>
      <w:r>
        <w:rPr>
          <w:rFonts w:cs="Arial"/>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rFonts w:cs="Arial"/>
                <w:sz w:val="16"/>
              </w:rPr>
            </w:pPr>
            <w:r>
              <w:rPr>
                <w:rFonts w:cs="Arial"/>
                <w:sz w:val="16"/>
              </w:rPr>
              <w:t>To:</w:t>
            </w:r>
          </w:p>
        </w:tc>
        <w:tc>
          <w:tcPr>
            <w:tcW w:w="6045" w:type="dxa"/>
            <w:tcBorders/>
          </w:tcPr>
          <w:p>
            <w:pPr>
              <w:pStyle w:val="To"/>
              <w:rPr>
                <w:rFonts w:cs="Arial"/>
              </w:rPr>
            </w:pPr>
            <w:r>
              <w:rPr>
                <w:rFonts w:cs="Arial"/>
              </w:rPr>
              <w:t>Heather Mitchell, Elizabeth Howley</w:t>
            </w:r>
          </w:p>
        </w:tc>
        <w:tc>
          <w:tcPr>
            <w:tcW w:w="990" w:type="dxa"/>
            <w:tcBorders/>
          </w:tcPr>
          <w:p>
            <w:pPr>
              <w:pStyle w:val="Normal"/>
              <w:snapToGrid w:val="false"/>
              <w:ind w:start="-180" w:end="0"/>
              <w:rPr>
                <w:rFonts w:cs="Arial"/>
              </w:rPr>
            </w:pPr>
            <w:r>
              <w:rPr>
                <w:rFonts w:cs="Arial"/>
              </w:rPr>
            </w:r>
          </w:p>
        </w:tc>
        <w:tc>
          <w:tcPr>
            <w:tcW w:w="2965" w:type="dxa"/>
            <w:tcBorders/>
          </w:tcPr>
          <w:p>
            <w:pPr>
              <w:pStyle w:val="Normal"/>
              <w:snapToGrid w:val="false"/>
              <w:rPr>
                <w:rFonts w:cs="Arial"/>
              </w:rPr>
            </w:pPr>
            <w:r>
              <w:rPr>
                <w:rFonts w:cs="Arial"/>
              </w:rPr>
            </w:r>
          </w:p>
        </w:tc>
      </w:tr>
      <w:tr>
        <w:trPr>
          <w:trHeight w:val="216" w:hRule="exact"/>
        </w:trPr>
        <w:tc>
          <w:tcPr>
            <w:tcW w:w="708" w:type="dxa"/>
            <w:tcBorders/>
          </w:tcPr>
          <w:p>
            <w:pPr>
              <w:pStyle w:val="Normal"/>
              <w:snapToGrid w:val="false"/>
              <w:ind w:start="-180" w:end="0"/>
              <w:jc w:val="end"/>
              <w:rPr>
                <w:rFonts w:cs="Arial"/>
                <w:sz w:val="18"/>
              </w:rPr>
            </w:pPr>
            <w:r>
              <w:rPr>
                <w:rFonts w:cs="Arial"/>
                <w:sz w:val="18"/>
              </w:rPr>
            </w:r>
          </w:p>
        </w:tc>
        <w:tc>
          <w:tcPr>
            <w:tcW w:w="6045" w:type="dxa"/>
            <w:tcBorders/>
          </w:tcPr>
          <w:p>
            <w:pPr>
              <w:pStyle w:val="Normal"/>
              <w:snapToGrid w:val="false"/>
              <w:rPr>
                <w:rFonts w:cs="Arial"/>
                <w:sz w:val="18"/>
              </w:rPr>
            </w:pPr>
            <w:r>
              <w:rPr>
                <w:rFonts w:cs="Arial"/>
                <w:sz w:val="18"/>
              </w:rPr>
            </w:r>
          </w:p>
        </w:tc>
        <w:tc>
          <w:tcPr>
            <w:tcW w:w="990" w:type="dxa"/>
            <w:tcBorders/>
          </w:tcPr>
          <w:p>
            <w:pPr>
              <w:pStyle w:val="Normal"/>
              <w:snapToGrid w:val="false"/>
              <w:ind w:start="-180" w:end="0"/>
              <w:rPr>
                <w:rFonts w:cs="Arial"/>
                <w:sz w:val="18"/>
              </w:rPr>
            </w:pPr>
            <w:r>
              <w:rPr>
                <w:rFonts w:cs="Arial"/>
                <w:sz w:val="18"/>
              </w:rPr>
            </w:r>
          </w:p>
        </w:tc>
        <w:tc>
          <w:tcPr>
            <w:tcW w:w="2965" w:type="dxa"/>
            <w:tcBorders/>
          </w:tcPr>
          <w:p>
            <w:pPr>
              <w:pStyle w:val="Normal"/>
              <w:snapToGrid w:val="false"/>
              <w:rPr>
                <w:rFonts w:cs="Arial"/>
                <w:sz w:val="18"/>
              </w:rPr>
            </w:pPr>
            <w:r>
              <w:rPr>
                <w:rFonts w:cs="Arial"/>
                <w:sz w:val="18"/>
              </w:rPr>
            </w:r>
          </w:p>
        </w:tc>
      </w:tr>
      <w:tr>
        <w:trPr>
          <w:trHeight w:val="300" w:hRule="exact"/>
        </w:trPr>
        <w:tc>
          <w:tcPr>
            <w:tcW w:w="708" w:type="dxa"/>
            <w:tcBorders/>
          </w:tcPr>
          <w:p>
            <w:pPr>
              <w:pStyle w:val="Normal"/>
              <w:ind w:start="-180" w:end="0"/>
              <w:jc w:val="end"/>
              <w:rPr>
                <w:rFonts w:cs="Arial"/>
                <w:sz w:val="16"/>
              </w:rPr>
            </w:pPr>
            <w:r>
              <w:rPr>
                <w:rFonts w:cs="Arial"/>
                <w:sz w:val="16"/>
              </w:rPr>
              <w:t>From:</w:t>
            </w:r>
          </w:p>
        </w:tc>
        <w:tc>
          <w:tcPr>
            <w:tcW w:w="6045" w:type="dxa"/>
            <w:tcBorders/>
          </w:tcPr>
          <w:p>
            <w:pPr>
              <w:pStyle w:val="From"/>
              <w:rPr>
                <w:rFonts w:cs="Arial"/>
              </w:rPr>
            </w:pPr>
            <w:r>
              <w:rPr>
                <w:rFonts w:cs="Arial"/>
              </w:rPr>
              <w:t>Mary Schoen</w:t>
            </w:r>
          </w:p>
        </w:tc>
        <w:tc>
          <w:tcPr>
            <w:tcW w:w="990" w:type="dxa"/>
            <w:tcBorders/>
          </w:tcPr>
          <w:p>
            <w:pPr>
              <w:pStyle w:val="Normal"/>
              <w:ind w:start="-180" w:end="0"/>
              <w:jc w:val="end"/>
              <w:rPr>
                <w:rFonts w:cs="Arial"/>
                <w:sz w:val="16"/>
              </w:rPr>
            </w:pPr>
            <w:r>
              <w:rPr>
                <w:rFonts w:cs="Arial"/>
                <w:sz w:val="16"/>
              </w:rPr>
              <w:t>Department:</w:t>
            </w:r>
          </w:p>
        </w:tc>
        <w:tc>
          <w:tcPr>
            <w:tcW w:w="2965" w:type="dxa"/>
            <w:tcBorders/>
          </w:tcPr>
          <w:p>
            <w:pPr>
              <w:pStyle w:val="Department"/>
              <w:rPr>
                <w:rFonts w:cs="Arial"/>
              </w:rPr>
            </w:pPr>
            <w:bookmarkStart w:id="0" w:name="From"/>
            <w:bookmarkEnd w:id="0"/>
            <w:r>
              <w:rPr>
                <w:rFonts w:cs="Arial"/>
              </w:rPr>
              <w:t>Environmental Strategies</w:t>
            </w:r>
          </w:p>
        </w:tc>
      </w:tr>
      <w:tr>
        <w:trPr>
          <w:trHeight w:val="216" w:hRule="exact"/>
        </w:trPr>
        <w:tc>
          <w:tcPr>
            <w:tcW w:w="708" w:type="dxa"/>
            <w:tcBorders/>
          </w:tcPr>
          <w:p>
            <w:pPr>
              <w:pStyle w:val="Normal"/>
              <w:snapToGrid w:val="false"/>
              <w:ind w:start="-180" w:end="0"/>
              <w:jc w:val="end"/>
              <w:rPr>
                <w:rFonts w:cs="Arial"/>
                <w:sz w:val="18"/>
              </w:rPr>
            </w:pPr>
            <w:r>
              <w:rPr>
                <w:rFonts w:cs="Arial"/>
                <w:sz w:val="18"/>
              </w:rPr>
            </w:r>
          </w:p>
        </w:tc>
        <w:tc>
          <w:tcPr>
            <w:tcW w:w="6045" w:type="dxa"/>
            <w:tcBorders/>
          </w:tcPr>
          <w:p>
            <w:pPr>
              <w:pStyle w:val="Normal"/>
              <w:snapToGrid w:val="false"/>
              <w:rPr>
                <w:rFonts w:cs="Arial"/>
                <w:sz w:val="18"/>
              </w:rPr>
            </w:pPr>
            <w:r>
              <w:rPr>
                <w:rFonts w:cs="Arial"/>
                <w:sz w:val="18"/>
              </w:rPr>
            </w:r>
          </w:p>
        </w:tc>
        <w:tc>
          <w:tcPr>
            <w:tcW w:w="990" w:type="dxa"/>
            <w:tcBorders/>
          </w:tcPr>
          <w:p>
            <w:pPr>
              <w:pStyle w:val="Normal"/>
              <w:snapToGrid w:val="false"/>
              <w:ind w:start="-180" w:end="0"/>
              <w:rPr>
                <w:rFonts w:cs="Arial"/>
                <w:sz w:val="18"/>
              </w:rPr>
            </w:pPr>
            <w:r>
              <w:rPr>
                <w:rFonts w:cs="Arial"/>
                <w:sz w:val="18"/>
              </w:rPr>
            </w:r>
          </w:p>
        </w:tc>
        <w:tc>
          <w:tcPr>
            <w:tcW w:w="2965" w:type="dxa"/>
            <w:tcBorders/>
          </w:tcPr>
          <w:p>
            <w:pPr>
              <w:pStyle w:val="Normal"/>
              <w:snapToGrid w:val="false"/>
              <w:rPr>
                <w:rFonts w:cs="Arial"/>
                <w:sz w:val="18"/>
              </w:rPr>
            </w:pPr>
            <w:r>
              <w:rPr>
                <w:rFonts w:cs="Arial"/>
                <w:sz w:val="18"/>
              </w:rPr>
            </w:r>
          </w:p>
        </w:tc>
      </w:tr>
      <w:tr>
        <w:trPr>
          <w:trHeight w:val="600" w:hRule="exact"/>
        </w:trPr>
        <w:tc>
          <w:tcPr>
            <w:tcW w:w="708" w:type="dxa"/>
            <w:tcBorders>
              <w:bottom w:val="single" w:sz="12" w:space="0" w:color="000000"/>
            </w:tcBorders>
          </w:tcPr>
          <w:p>
            <w:pPr>
              <w:pStyle w:val="Normal"/>
              <w:ind w:start="-180" w:end="0"/>
              <w:jc w:val="end"/>
              <w:rPr>
                <w:rFonts w:cs="Arial"/>
                <w:sz w:val="16"/>
              </w:rPr>
            </w:pPr>
            <w:r>
              <w:rPr>
                <w:rFonts w:cs="Arial"/>
                <w:sz w:val="16"/>
              </w:rPr>
              <w:t>Subject:</w:t>
            </w:r>
          </w:p>
        </w:tc>
        <w:tc>
          <w:tcPr>
            <w:tcW w:w="6045" w:type="dxa"/>
            <w:tcBorders>
              <w:bottom w:val="single" w:sz="12" w:space="0" w:color="000000"/>
            </w:tcBorders>
          </w:tcPr>
          <w:p>
            <w:pPr>
              <w:pStyle w:val="Subject"/>
              <w:rPr>
                <w:rFonts w:cs="Arial"/>
              </w:rPr>
            </w:pPr>
            <w:r>
              <w:rPr>
                <w:rFonts w:cs="Arial"/>
              </w:rPr>
              <w:t>Northeast Offset Trading Programs</w:t>
            </w:r>
          </w:p>
        </w:tc>
        <w:tc>
          <w:tcPr>
            <w:tcW w:w="990" w:type="dxa"/>
            <w:tcBorders>
              <w:bottom w:val="single" w:sz="12" w:space="0" w:color="000000"/>
            </w:tcBorders>
          </w:tcPr>
          <w:p>
            <w:pPr>
              <w:pStyle w:val="Normal"/>
              <w:ind w:start="-180" w:end="0"/>
              <w:jc w:val="end"/>
              <w:rPr>
                <w:rFonts w:cs="Arial"/>
                <w:sz w:val="16"/>
              </w:rPr>
            </w:pPr>
            <w:r>
              <w:rPr>
                <w:rFonts w:cs="Arial"/>
                <w:sz w:val="16"/>
              </w:rPr>
              <w:t>Date:</w:t>
            </w:r>
          </w:p>
        </w:tc>
        <w:tc>
          <w:tcPr>
            <w:tcW w:w="2965" w:type="dxa"/>
            <w:tcBorders>
              <w:bottom w:val="single" w:sz="12" w:space="0" w:color="000000"/>
            </w:tcBorders>
          </w:tcPr>
          <w:p>
            <w:pPr>
              <w:pStyle w:val="Date"/>
              <w:rPr>
                <w:rFonts w:cs="Arial"/>
              </w:rPr>
            </w:pPr>
            <w:r>
              <w:rPr>
                <w:rFonts w:cs="Arial"/>
              </w:rPr>
              <w:fldChar w:fldCharType="begin"/>
            </w:r>
            <w:r>
              <w:rPr>
                <w:rFonts w:cs="Arial"/>
              </w:rPr>
              <w:instrText xml:space="preserve"> DATE \@"MMMM\ d', 'yyyy" </w:instrText>
            </w:r>
            <w:r>
              <w:rPr>
                <w:rFonts w:cs="Arial"/>
              </w:rPr>
              <w:fldChar w:fldCharType="separate"/>
            </w:r>
            <w:r>
              <w:rPr>
                <w:rFonts w:cs="Arial"/>
              </w:rPr>
              <w:t>September 28, 2025</w:t>
            </w:r>
            <w:r>
              <w:rPr>
                <w:rFonts w:cs="Arial"/>
              </w:rPr>
              <w:fldChar w:fldCharType="end"/>
            </w:r>
          </w:p>
        </w:tc>
      </w:tr>
    </w:tbl>
    <w:p>
      <w:pPr>
        <w:pStyle w:val="Body"/>
        <w:rPr>
          <w:rFonts w:cs="Arial"/>
        </w:rPr>
      </w:pPr>
      <w:r>
        <w:rPr>
          <w:rFonts w:cs="Arial"/>
        </w:rPr>
      </w:r>
      <w:bookmarkStart w:id="1" w:name="StartOfMemo"/>
      <w:bookmarkStart w:id="2" w:name="StartOfMemo"/>
      <w:bookmarkEnd w:id="2"/>
    </w:p>
    <w:p>
      <w:pPr>
        <w:pStyle w:val="Normal"/>
        <w:rPr>
          <w:rFonts w:cs="Arial"/>
        </w:rPr>
      </w:pPr>
      <w:r>
        <w:rPr>
          <w:rFonts w:cs="Arial"/>
        </w:rPr>
        <w:t xml:space="preserve">Attached is information from Joel’s group on interstate offset trading in the Northeast.  Although there are individual state agreements and a regional trading agreement, almost all trades will need to be handled on a case-by-case basis.  </w:t>
      </w:r>
    </w:p>
    <w:p>
      <w:pPr>
        <w:pStyle w:val="Normal"/>
        <w:rPr>
          <w:rFonts w:cs="Arial"/>
        </w:rPr>
      </w:pPr>
      <w:r>
        <w:rPr>
          <w:rFonts w:cs="Arial"/>
        </w:rPr>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t>Background</w:t>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r>
    </w:p>
    <w:p>
      <w:pPr>
        <w:pStyle w:val="Normal"/>
        <w:rPr>
          <w:rFonts w:cs="Arial"/>
        </w:rPr>
      </w:pPr>
      <w:r>
        <w:rPr>
          <w:rFonts w:cs="Arial"/>
        </w:rPr>
        <w:t xml:space="preserve">Offsets are used by new sources as a means of reducing the impact the new source has on air quality.  An offset is a reduction in the amount of pollution currently produced by an existing source in exchange for pollution that would be created by a new source.  In nonattainment areas, offsets are required under New Source Review regulations.  For some companies it is more economical to buy these reductions from other sources and receive the offset credit rather than reduce pollution from the company's own sources, this is called offset trading.  </w:t>
      </w:r>
    </w:p>
    <w:p>
      <w:pPr>
        <w:pStyle w:val="Normal"/>
        <w:rPr>
          <w:rFonts w:cs="Arial"/>
        </w:rPr>
      </w:pPr>
      <w:r>
        <w:rPr>
          <w:rFonts w:cs="Arial"/>
        </w:rPr>
      </w:r>
    </w:p>
    <w:p>
      <w:pPr>
        <w:pStyle w:val="Normal"/>
        <w:rPr>
          <w:rFonts w:cs="Arial"/>
        </w:rPr>
      </w:pPr>
      <w:r>
        <w:rPr>
          <w:rFonts w:cs="Arial"/>
        </w:rPr>
        <w:t>The normal new source offset is called an emission reduction credit or ERC.  ERCs are created from a permanent reduction in emissions that would otherwise not have occurred.  The standard requirements are that ERCs must be:</w:t>
      </w:r>
    </w:p>
    <w:p>
      <w:pPr>
        <w:pStyle w:val="Normal"/>
        <w:rPr>
          <w:rFonts w:cs="Arial"/>
        </w:rPr>
      </w:pPr>
      <w:r>
        <w:rPr>
          <w:rFonts w:cs="Arial"/>
        </w:rPr>
      </w:r>
    </w:p>
    <w:p>
      <w:pPr>
        <w:pStyle w:val="Bullet1"/>
        <w:numPr>
          <w:ilvl w:val="0"/>
          <w:numId w:val="2"/>
        </w:numPr>
        <w:rPr>
          <w:rFonts w:ascii="Arial" w:hAnsi="Arial" w:cs="Arial"/>
        </w:rPr>
      </w:pPr>
      <w:r>
        <w:rPr>
          <w:rFonts w:cs="Arial" w:ascii="Arial" w:hAnsi="Arial"/>
        </w:rPr>
        <w:t>Surplus (in addition to other control requirements)</w:t>
      </w:r>
    </w:p>
    <w:p>
      <w:pPr>
        <w:pStyle w:val="Bullet1"/>
        <w:numPr>
          <w:ilvl w:val="0"/>
          <w:numId w:val="2"/>
        </w:numPr>
        <w:rPr>
          <w:rFonts w:ascii="Arial" w:hAnsi="Arial" w:cs="Arial"/>
        </w:rPr>
      </w:pPr>
      <w:r>
        <w:rPr>
          <w:rFonts w:cs="Arial" w:ascii="Arial" w:hAnsi="Arial"/>
        </w:rPr>
        <w:t>Permanent</w:t>
      </w:r>
    </w:p>
    <w:p>
      <w:pPr>
        <w:pStyle w:val="Bullet1"/>
        <w:numPr>
          <w:ilvl w:val="0"/>
          <w:numId w:val="2"/>
        </w:numPr>
        <w:rPr>
          <w:rFonts w:ascii="Arial" w:hAnsi="Arial" w:cs="Arial"/>
        </w:rPr>
      </w:pPr>
      <w:r>
        <w:rPr>
          <w:rFonts w:cs="Arial" w:ascii="Arial" w:hAnsi="Arial"/>
        </w:rPr>
        <w:t>Measurable</w:t>
      </w:r>
    </w:p>
    <w:p>
      <w:pPr>
        <w:pStyle w:val="Bullet1"/>
        <w:numPr>
          <w:ilvl w:val="0"/>
          <w:numId w:val="2"/>
        </w:numPr>
        <w:rPr>
          <w:rFonts w:ascii="Arial" w:hAnsi="Arial" w:cs="Arial"/>
        </w:rPr>
      </w:pPr>
      <w:r>
        <w:rPr>
          <w:rFonts w:cs="Arial" w:ascii="Arial" w:hAnsi="Arial"/>
        </w:rPr>
        <w:t>Verifiable</w:t>
      </w:r>
    </w:p>
    <w:p>
      <w:pPr>
        <w:pStyle w:val="Bullet1"/>
        <w:numPr>
          <w:ilvl w:val="0"/>
          <w:numId w:val="2"/>
        </w:numPr>
        <w:rPr>
          <w:rFonts w:ascii="Arial" w:hAnsi="Arial" w:cs="Arial"/>
        </w:rPr>
      </w:pPr>
      <w:r>
        <w:rPr>
          <w:rFonts w:cs="Arial" w:ascii="Arial" w:hAnsi="Arial"/>
        </w:rPr>
        <w:t>Enforceable</w:t>
      </w:r>
    </w:p>
    <w:p>
      <w:pPr>
        <w:pStyle w:val="Normal"/>
        <w:rPr>
          <w:rFonts w:cs="Arial"/>
        </w:rPr>
      </w:pPr>
      <w:r>
        <w:rPr>
          <w:rFonts w:cs="Arial"/>
        </w:rPr>
        <w:t xml:space="preserve">ERCs can be generated in several ways such as shut down, overcontrol, and pollution reduction technologies.  ERCs are measured in tons per year and are required for new sources that wish to construct in nonattainment regions.  A permit change is usually required to ensure that the reduction is permanent and enforceable.  </w:t>
      </w:r>
    </w:p>
    <w:p>
      <w:pPr>
        <w:pStyle w:val="Normal"/>
        <w:rPr>
          <w:rFonts w:cs="Arial"/>
        </w:rPr>
      </w:pPr>
      <w:r>
        <w:rPr>
          <w:rFonts w:cs="Arial"/>
        </w:rPr>
      </w:r>
    </w:p>
    <w:p>
      <w:pPr>
        <w:pStyle w:val="Normal"/>
        <w:rPr>
          <w:rFonts w:cs="Arial"/>
        </w:rPr>
      </w:pPr>
      <w:r>
        <w:rPr>
          <w:rFonts w:cs="Arial"/>
        </w:rPr>
        <w:t>There is another type of tradable emission reduction called a discrete emission reduction credit or DERC.  DERCs are emission reductions that may or may not be permanent and are expressed in tons.  They can be used for a variety of different compliance purposes though it is possible by meeting requirements in some states to turn a DERC into an ERC for offset purposes.  DERC programs exist only in certain states and have recently come under challenge from environmental groups and some regulators.  However, they are included in some offset trading programs, as described below.</w:t>
      </w:r>
    </w:p>
    <w:p>
      <w:pPr>
        <w:pStyle w:val="Normal"/>
        <w:rPr>
          <w:rFonts w:cs="Arial"/>
        </w:rPr>
      </w:pPr>
      <w:r>
        <w:rPr>
          <w:rFonts w:cs="Arial"/>
        </w:rPr>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t>Offset Trading in the Northeast</w:t>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r>
    </w:p>
    <w:p>
      <w:pPr>
        <w:pStyle w:val="Normal"/>
        <w:rPr>
          <w:rFonts w:cs="Arial"/>
        </w:rPr>
      </w:pPr>
      <w:r>
        <w:rPr>
          <w:rFonts w:cs="Arial"/>
        </w:rPr>
        <w:t xml:space="preserve">Federal rules require that offsets be created in the same nonattainment area in which they are used or an adjacent nonattainment area of greater severity.  Since nonattainment areas are usually isolated from each other and since the program is operated by states, offset trading is typically limited to a single state or single air basin within a state.  </w:t>
      </w:r>
    </w:p>
    <w:p>
      <w:pPr>
        <w:pStyle w:val="Normal"/>
        <w:rPr>
          <w:rFonts w:cs="Arial"/>
        </w:rPr>
      </w:pPr>
      <w:r>
        <w:rPr>
          <w:rFonts w:cs="Arial"/>
        </w:rPr>
      </w:r>
    </w:p>
    <w:p>
      <w:pPr>
        <w:pStyle w:val="Normal"/>
        <w:rPr>
          <w:rFonts w:cs="Arial"/>
        </w:rPr>
      </w:pPr>
      <w:r>
        <w:rPr>
          <w:rFonts w:cs="Arial"/>
        </w:rPr>
        <w:t xml:space="preserve">In the Ozone Transport Region (OTR) it is recognized that pollution does not remain within state boundaries, instead it moves from one OTR state to another, particularly damaging to downwind states.  All of the areas in this 12 state area are treated as nonattainment areas for permitting purposes; thus new source offsets are needed for new major sources anywhere in the region.  One of the problems that has developed is that some areas on the OTR have greater potential for creation of ERCs than others.  This creates inequities in potential for economic development if offset creation and use are limited to individual states.  </w:t>
      </w:r>
    </w:p>
    <w:p>
      <w:pPr>
        <w:pStyle w:val="Normal"/>
        <w:rPr>
          <w:rFonts w:cs="Arial"/>
        </w:rPr>
      </w:pPr>
      <w:r>
        <w:rPr>
          <w:rFonts w:cs="Arial"/>
        </w:rPr>
      </w:r>
    </w:p>
    <w:p>
      <w:pPr>
        <w:pStyle w:val="Normal"/>
        <w:rPr>
          <w:rFonts w:cs="Arial"/>
        </w:rPr>
      </w:pPr>
      <w:r>
        <w:rPr>
          <w:rFonts w:cs="Arial"/>
        </w:rPr>
        <w:t>The first response to this problem was for individual states to establish ERC trading agreements, usually through a Memorandum of Understanding (MOU).  For example, New York has established trading agreements for ERCs with Connecticut and Pennsylvania.  The agreements require that both states adhere to the laws and requirements affecting offsets in the partner state.  For example, Pennsylvania has a 10 year limit on the life of an emission reduction credit in the bank so under this agreement New York must also limit banked ERCs to 10 years.  A few other states have similar agreements, which we are working on tabulating.</w:t>
      </w:r>
    </w:p>
    <w:p>
      <w:pPr>
        <w:pStyle w:val="Normal"/>
        <w:rPr>
          <w:rFonts w:cs="Arial"/>
        </w:rPr>
      </w:pPr>
      <w:r>
        <w:rPr>
          <w:rFonts w:cs="Arial"/>
        </w:rPr>
      </w:r>
    </w:p>
    <w:p>
      <w:pPr>
        <w:pStyle w:val="Normal"/>
        <w:rPr>
          <w:rFonts w:cs="Arial"/>
        </w:rPr>
      </w:pPr>
      <w:r>
        <w:rPr>
          <w:rFonts w:cs="Arial"/>
        </w:rPr>
        <w:t>Creating individual state MOUs is a cumbersome process, so in January 2000 the OTR states developed and signed a Memorandum of Understanding (MOU) which establishes an interstate offset trading program for states in the Ozone Transport Region.  The OTC program is intended to provide a structure and guidelines for interstate trading of offsets used to meet New Source Review requirements.  The terms of that agreement are described below.</w:t>
      </w:r>
    </w:p>
    <w:p>
      <w:pPr>
        <w:pStyle w:val="Normal"/>
        <w:rPr>
          <w:rFonts w:cs="Arial"/>
        </w:rPr>
      </w:pPr>
      <w:r>
        <w:rPr>
          <w:rFonts w:cs="Arial"/>
        </w:rPr>
      </w:r>
    </w:p>
    <w:p>
      <w:pPr>
        <w:pStyle w:val="Normal"/>
        <w:rPr>
          <w:rFonts w:cs="Arial"/>
          <w:i/>
          <w:i/>
        </w:rPr>
      </w:pPr>
      <w:r>
        <w:rPr>
          <w:rFonts w:cs="Arial"/>
          <w:i/>
        </w:rPr>
        <w:t>Use, Tracking and Monitoring</w:t>
      </w:r>
    </w:p>
    <w:p>
      <w:pPr>
        <w:pStyle w:val="Normal"/>
        <w:rPr>
          <w:rFonts w:cs="Arial"/>
        </w:rPr>
      </w:pPr>
      <w:r>
        <w:rPr>
          <w:rFonts w:cs="Arial"/>
        </w:rPr>
        <w:t xml:space="preserve">The use, tracking and monitoring of ERCs are all established by the OTR agreement.  States are required to maintain records documenting such things as the number of ERCs generated, the company that generated the credit, the enforceable permit, baseline emissions for the source, the reduction method and test methods.  A regional system for tracking these ERCs is required as well.  The use of credits must fall within the guidelines of the Clean Air Act, New Source Review and the laws and regulations of the states involved.  Provisions for expiration and discounting of credits are governed by the generating state, while the user state confirms the validity and value of any credits used.  </w:t>
      </w:r>
    </w:p>
    <w:p>
      <w:pPr>
        <w:pStyle w:val="Normal"/>
        <w:rPr>
          <w:rFonts w:cs="Arial"/>
          <w:i/>
          <w:i/>
        </w:rPr>
      </w:pPr>
      <w:r>
        <w:rPr>
          <w:rFonts w:cs="Arial"/>
          <w:i/>
        </w:rPr>
      </w:r>
    </w:p>
    <w:p>
      <w:pPr>
        <w:pStyle w:val="Normal"/>
        <w:rPr>
          <w:rFonts w:cs="Arial"/>
          <w:i/>
          <w:i/>
        </w:rPr>
      </w:pPr>
      <w:r>
        <w:rPr>
          <w:rFonts w:cs="Arial"/>
          <w:i/>
        </w:rPr>
        <w:t>SIP Call Accountability</w:t>
      </w:r>
    </w:p>
    <w:p>
      <w:pPr>
        <w:pStyle w:val="Normal"/>
        <w:rPr>
          <w:rFonts w:cs="Arial"/>
        </w:rPr>
      </w:pPr>
      <w:r>
        <w:rPr>
          <w:rFonts w:cs="Arial"/>
        </w:rPr>
        <w:t xml:space="preserve">The EPA's SIP Call requires states to account for emissions by maintaining "actual emission inventories" based on actual emissions and "future projection inventories" that forecast future year emissions.  The OTC program establishes that OTR states utilize a regional accounting system to show that SIP requirements are met for the region, rather than state by state.  The regional accounting system will depend on submissions from each state that show that the use of NOx offsets does not exceed the amount of emission reductions generated and that the additional emission reductions required through the application of offset ratios have been met. </w:t>
      </w:r>
    </w:p>
    <w:p>
      <w:pPr>
        <w:pStyle w:val="Normal"/>
        <w:rPr>
          <w:rFonts w:cs="Arial"/>
        </w:rPr>
      </w:pPr>
      <w:r>
        <w:rPr>
          <w:rFonts w:cs="Arial"/>
        </w:rPr>
      </w:r>
    </w:p>
    <w:p>
      <w:pPr>
        <w:pStyle w:val="Normal"/>
        <w:rPr>
          <w:rFonts w:cs="Arial"/>
          <w:i/>
          <w:i/>
        </w:rPr>
      </w:pPr>
      <w:r>
        <w:rPr>
          <w:rFonts w:cs="Arial"/>
          <w:i/>
        </w:rPr>
        <w:t>State Regulations</w:t>
      </w:r>
    </w:p>
    <w:p>
      <w:pPr>
        <w:pStyle w:val="Normal"/>
        <w:rPr>
          <w:rFonts w:cs="Arial"/>
        </w:rPr>
      </w:pPr>
      <w:r>
        <w:rPr>
          <w:rFonts w:cs="Arial"/>
        </w:rPr>
        <w:t>The agreement ultimately gives states the authority to regulate trades based on each individual state's laws and requirements.  Therefore, there are a variety of conditions that must be met in each state.  Some general requirements are:</w:t>
      </w:r>
    </w:p>
    <w:p>
      <w:pPr>
        <w:pStyle w:val="Normal"/>
        <w:rPr>
          <w:rFonts w:cs="Arial"/>
        </w:rPr>
      </w:pPr>
      <w:r>
        <w:rPr>
          <w:rFonts w:cs="Arial"/>
        </w:rPr>
      </w:r>
    </w:p>
    <w:p>
      <w:pPr>
        <w:pStyle w:val="Bullet1"/>
        <w:numPr>
          <w:ilvl w:val="0"/>
          <w:numId w:val="2"/>
        </w:numPr>
        <w:rPr>
          <w:rFonts w:ascii="Arial" w:hAnsi="Arial" w:cs="Arial"/>
        </w:rPr>
      </w:pPr>
      <w:r>
        <w:rPr>
          <w:rFonts w:cs="Arial" w:ascii="Arial" w:hAnsi="Arial"/>
        </w:rPr>
        <w:t>Credits occurring from reductions prior to 1990 may not be traded</w:t>
      </w:r>
    </w:p>
    <w:p>
      <w:pPr>
        <w:pStyle w:val="Bullet1"/>
        <w:numPr>
          <w:ilvl w:val="0"/>
          <w:numId w:val="2"/>
        </w:numPr>
        <w:rPr>
          <w:rFonts w:ascii="Arial" w:hAnsi="Arial" w:cs="Arial"/>
        </w:rPr>
      </w:pPr>
      <w:r>
        <w:rPr>
          <w:rFonts w:cs="Arial" w:ascii="Arial" w:hAnsi="Arial"/>
        </w:rPr>
        <w:t>If a user state prohibits the use of credits calculated with pre-1991 data such credits may not be used</w:t>
      </w:r>
    </w:p>
    <w:p>
      <w:pPr>
        <w:pStyle w:val="Bullet1"/>
        <w:numPr>
          <w:ilvl w:val="0"/>
          <w:numId w:val="2"/>
        </w:numPr>
        <w:rPr>
          <w:rFonts w:ascii="Arial" w:hAnsi="Arial" w:cs="Arial"/>
        </w:rPr>
      </w:pPr>
      <w:r>
        <w:rPr>
          <w:rFonts w:cs="Arial" w:ascii="Arial" w:hAnsi="Arial"/>
        </w:rPr>
        <w:t>If a generating state prohibits the use of ERCs from shutdown or curtailment such credits shall not be used</w:t>
      </w:r>
    </w:p>
    <w:p>
      <w:pPr>
        <w:pStyle w:val="Bullet1"/>
        <w:numPr>
          <w:ilvl w:val="0"/>
          <w:numId w:val="2"/>
        </w:numPr>
        <w:rPr>
          <w:rFonts w:ascii="Arial" w:hAnsi="Arial" w:cs="Arial"/>
        </w:rPr>
      </w:pPr>
      <w:r>
        <w:rPr>
          <w:rFonts w:cs="Arial" w:ascii="Arial" w:hAnsi="Arial"/>
        </w:rPr>
        <w:t>If reciprocity requirements exist states may not transfer credits to states that do not allow the same types of credits to be traded out-of-state</w:t>
      </w:r>
    </w:p>
    <w:p>
      <w:pPr>
        <w:pStyle w:val="Bullet1"/>
        <w:numPr>
          <w:ilvl w:val="0"/>
          <w:numId w:val="2"/>
        </w:numPr>
        <w:rPr>
          <w:rFonts w:ascii="Arial" w:hAnsi="Arial" w:cs="Arial"/>
        </w:rPr>
      </w:pPr>
      <w:r>
        <w:rPr>
          <w:rFonts w:cs="Arial" w:ascii="Arial" w:hAnsi="Arial"/>
        </w:rPr>
        <w:t xml:space="preserve">Some states allow credit based on reductions outside the ozone season to be used </w:t>
      </w:r>
    </w:p>
    <w:p>
      <w:pPr>
        <w:pStyle w:val="Bullet1"/>
        <w:numPr>
          <w:ilvl w:val="0"/>
          <w:numId w:val="2"/>
        </w:numPr>
        <w:rPr>
          <w:rFonts w:ascii="Arial" w:hAnsi="Arial" w:cs="Arial"/>
        </w:rPr>
      </w:pPr>
      <w:r>
        <w:rPr>
          <w:rFonts w:cs="Arial" w:ascii="Arial" w:hAnsi="Arial"/>
        </w:rPr>
        <w:t>Some states do not allow DERCs to be used to meet NSR offset requirements</w:t>
      </w:r>
    </w:p>
    <w:p>
      <w:pPr>
        <w:pStyle w:val="Bullet1"/>
        <w:numPr>
          <w:ilvl w:val="0"/>
          <w:numId w:val="2"/>
        </w:numPr>
        <w:rPr>
          <w:rFonts w:ascii="Arial" w:hAnsi="Arial" w:cs="Arial"/>
        </w:rPr>
      </w:pPr>
      <w:r>
        <w:rPr>
          <w:rFonts w:cs="Arial" w:ascii="Arial" w:hAnsi="Arial"/>
        </w:rPr>
        <w:t>New Jersey allows DERCs to meet NSR if the requirements in its trading rules are met</w:t>
      </w:r>
    </w:p>
    <w:p>
      <w:pPr>
        <w:pStyle w:val="Normal"/>
        <w:rPr>
          <w:rFonts w:cs="Arial"/>
        </w:rPr>
      </w:pPr>
      <w:r>
        <w:rPr>
          <w:rFonts w:cs="Arial"/>
        </w:rPr>
        <w:t>Some states determine the value of credits based on the distance and directionality of the offset source:</w:t>
      </w:r>
    </w:p>
    <w:p>
      <w:pPr>
        <w:pStyle w:val="Normal"/>
        <w:rPr>
          <w:rFonts w:cs="Arial"/>
        </w:rPr>
      </w:pPr>
      <w:r>
        <w:rPr>
          <w:rFonts w:cs="Arial"/>
        </w:rPr>
      </w:r>
    </w:p>
    <w:p>
      <w:pPr>
        <w:pStyle w:val="Bullet1"/>
        <w:numPr>
          <w:ilvl w:val="0"/>
          <w:numId w:val="2"/>
        </w:numPr>
        <w:rPr>
          <w:rFonts w:ascii="Arial" w:hAnsi="Arial" w:cs="Arial"/>
        </w:rPr>
      </w:pPr>
      <w:r>
        <w:rPr>
          <w:rFonts w:cs="Arial" w:ascii="Arial" w:hAnsi="Arial"/>
          <w:u w:val="single"/>
        </w:rPr>
        <w:t>Maine</w:t>
      </w:r>
      <w:r>
        <w:rPr>
          <w:rFonts w:cs="Arial" w:ascii="Arial" w:hAnsi="Arial"/>
        </w:rPr>
        <w:t xml:space="preserve"> requires double the amount of offsets for sources located outside of New England</w:t>
      </w:r>
    </w:p>
    <w:p>
      <w:pPr>
        <w:pStyle w:val="Bullet1"/>
        <w:numPr>
          <w:ilvl w:val="0"/>
          <w:numId w:val="2"/>
        </w:numPr>
        <w:rPr>
          <w:rFonts w:ascii="Arial" w:hAnsi="Arial" w:cs="Arial"/>
        </w:rPr>
      </w:pPr>
      <w:r>
        <w:rPr>
          <w:rFonts w:cs="Arial" w:ascii="Arial" w:hAnsi="Arial"/>
          <w:u w:val="single"/>
        </w:rPr>
        <w:t>Massachusetts</w:t>
      </w:r>
      <w:r>
        <w:rPr>
          <w:rFonts w:cs="Arial" w:ascii="Arial" w:hAnsi="Arial"/>
        </w:rPr>
        <w:t xml:space="preserve"> does not allow credits generated in-state to be traded south or west</w:t>
      </w:r>
    </w:p>
    <w:p>
      <w:pPr>
        <w:pStyle w:val="Bullet1"/>
        <w:numPr>
          <w:ilvl w:val="0"/>
          <w:numId w:val="2"/>
        </w:numPr>
        <w:rPr>
          <w:rFonts w:ascii="Arial" w:hAnsi="Arial" w:cs="Arial"/>
        </w:rPr>
      </w:pPr>
      <w:r>
        <w:rPr>
          <w:rFonts w:cs="Arial" w:ascii="Arial" w:hAnsi="Arial"/>
          <w:u w:val="single"/>
        </w:rPr>
        <w:t>New Hampshire</w:t>
      </w:r>
      <w:r>
        <w:rPr>
          <w:rFonts w:cs="Arial" w:ascii="Arial" w:hAnsi="Arial"/>
        </w:rPr>
        <w:t xml:space="preserve"> employs a ratio based on the following:</w:t>
      </w:r>
    </w:p>
    <w:p>
      <w:pPr>
        <w:pStyle w:val="Bullet1"/>
        <w:numPr>
          <w:ilvl w:val="0"/>
          <w:numId w:val="0"/>
        </w:numPr>
        <w:ind w:hanging="0" w:start="360" w:end="0"/>
        <w:rPr>
          <w:rFonts w:ascii="Arial" w:hAnsi="Arial" w:cs="Arial"/>
        </w:rPr>
      </w:pPr>
      <w:r>
        <w:rPr>
          <w:rFonts w:cs="Arial" w:ascii="Arial" w:hAnsi="Arial"/>
        </w:rPr>
      </w:r>
    </w:p>
    <w:tbl>
      <w:tblPr>
        <w:tblW w:w="4230" w:type="dxa"/>
        <w:jc w:val="start"/>
        <w:tblInd w:w="2718" w:type="dxa"/>
        <w:tblLayout w:type="fixed"/>
        <w:tblCellMar>
          <w:top w:w="0" w:type="dxa"/>
          <w:start w:w="108" w:type="dxa"/>
          <w:bottom w:w="0" w:type="dxa"/>
          <w:end w:w="108" w:type="dxa"/>
        </w:tblCellMar>
      </w:tblPr>
      <w:tblGrid>
        <w:gridCol w:w="2070"/>
        <w:gridCol w:w="216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Distance in Miles</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Credits Required</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0-150</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1.2:1</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150-300</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2.4:1</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300-450</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4.8:1</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450-600</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9.6:1</w:t>
            </w:r>
          </w:p>
        </w:tc>
      </w:tr>
      <w:tr>
        <w:trPr/>
        <w:tc>
          <w:tcPr>
            <w:tcW w:w="207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600-750</w:t>
            </w:r>
          </w:p>
        </w:tc>
        <w:tc>
          <w:tcPr>
            <w:tcW w:w="2160" w:type="dxa"/>
            <w:tcBorders>
              <w:top w:val="single" w:sz="4" w:space="0" w:color="000000"/>
              <w:start w:val="single" w:sz="4" w:space="0" w:color="000000"/>
              <w:bottom w:val="single" w:sz="4" w:space="0" w:color="000000"/>
              <w:end w:val="single" w:sz="4" w:space="0" w:color="000000"/>
            </w:tcBorders>
          </w:tcPr>
          <w:p>
            <w:pPr>
              <w:pStyle w:val="Normal"/>
              <w:rPr>
                <w:rFonts w:cs="Arial"/>
              </w:rPr>
            </w:pPr>
            <w:r>
              <w:rPr>
                <w:rFonts w:cs="Arial"/>
              </w:rPr>
              <w:t>19.2:1</w:t>
            </w:r>
          </w:p>
        </w:tc>
      </w:tr>
    </w:tbl>
    <w:p>
      <w:pPr>
        <w:pStyle w:val="Normal"/>
        <w:rPr>
          <w:rFonts w:cs="Arial"/>
          <w:u w:val="single"/>
        </w:rPr>
      </w:pPr>
      <w:r>
        <w:rPr>
          <w:rFonts w:cs="Arial"/>
          <w:u w:val="single"/>
        </w:rPr>
      </w:r>
    </w:p>
    <w:p>
      <w:pPr>
        <w:pStyle w:val="Bullet1"/>
        <w:numPr>
          <w:ilvl w:val="0"/>
          <w:numId w:val="2"/>
        </w:numPr>
        <w:rPr>
          <w:rFonts w:ascii="Arial" w:hAnsi="Arial" w:cs="Arial"/>
        </w:rPr>
      </w:pPr>
      <w:r>
        <w:rPr>
          <w:rFonts w:cs="Arial" w:ascii="Arial" w:hAnsi="Arial"/>
          <w:u w:val="single"/>
        </w:rPr>
        <w:t>New Jersey</w:t>
      </w:r>
      <w:r>
        <w:rPr>
          <w:rFonts w:cs="Arial" w:ascii="Arial" w:hAnsi="Arial"/>
        </w:rPr>
        <w:t xml:space="preserve"> also uses a ratio calculation based on:</w:t>
        <w:br/>
        <w:t>0-100 miles = 1.3:1          100-250 miles = 2.6:1          250-500 miles = 5.2:1</w:t>
        <w:br/>
        <w:t>If the credits are DERCs and outside of the non-attainment area the source must be south or west of New Jersey</w:t>
      </w:r>
    </w:p>
    <w:p>
      <w:pPr>
        <w:pStyle w:val="Bullet1"/>
        <w:numPr>
          <w:ilvl w:val="0"/>
          <w:numId w:val="2"/>
        </w:numPr>
        <w:rPr>
          <w:rFonts w:ascii="Arial" w:hAnsi="Arial" w:cs="Arial"/>
          <w:u w:val="single"/>
        </w:rPr>
      </w:pPr>
      <w:r>
        <w:rPr>
          <w:rFonts w:cs="Arial" w:ascii="Arial" w:hAnsi="Arial"/>
          <w:u w:val="single"/>
        </w:rPr>
        <w:t xml:space="preserve">New York </w:t>
      </w:r>
      <w:r>
        <w:rPr>
          <w:rFonts w:cs="Arial" w:ascii="Arial" w:hAnsi="Arial"/>
        </w:rPr>
        <w:t>will allow offsets at a distance of up to 125-300 miles and varies the ratio depending on the direction</w:t>
      </w:r>
    </w:p>
    <w:p>
      <w:pPr>
        <w:pStyle w:val="Bullet1"/>
        <w:numPr>
          <w:ilvl w:val="0"/>
          <w:numId w:val="2"/>
        </w:numPr>
        <w:rPr>
          <w:rFonts w:ascii="Arial" w:hAnsi="Arial" w:cs="Arial"/>
        </w:rPr>
      </w:pPr>
      <w:r>
        <w:rPr>
          <w:rFonts w:cs="Arial" w:ascii="Arial" w:hAnsi="Arial"/>
          <w:u w:val="single"/>
        </w:rPr>
        <w:t>Pennsylvania</w:t>
      </w:r>
      <w:r>
        <w:rPr>
          <w:rFonts w:cs="Arial" w:ascii="Arial" w:hAnsi="Arial"/>
        </w:rPr>
        <w:t xml:space="preserve"> requires that sources be within 200 km of the user </w:t>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r>
    </w:p>
    <w:p>
      <w:pPr>
        <w:pStyle w:val="Normal"/>
        <w:rPr>
          <w:rFonts w:cs="Arial"/>
        </w:rPr>
      </w:pPr>
      <w:r>
        <w:rPr>
          <w:rFonts w:cs="Arial"/>
        </w:rPr>
        <w:t>Some additional principles are listed on the following chart based on individual state regulations.</w:t>
      </w:r>
    </w:p>
    <w:p>
      <w:pPr>
        <w:pStyle w:val="EEAHead1"/>
        <w:tabs>
          <w:tab w:val="clear" w:pos="720"/>
        </w:tabs>
        <w:spacing w:before="0" w:after="0"/>
        <w:rPr>
          <w:rFonts w:ascii="Arial" w:hAnsi="Arial" w:cs="Arial"/>
          <w:caps w:val="false"/>
          <w:smallCaps w:val="false"/>
        </w:rPr>
      </w:pPr>
      <w:r>
        <w:rPr>
          <w:rFonts w:cs="Arial" w:ascii="Arial" w:hAnsi="Arial"/>
          <w:caps w:val="false"/>
          <w:smallCaps w:val="false"/>
        </w:rPr>
      </w:r>
    </w:p>
    <w:p>
      <w:pPr>
        <w:pStyle w:val="Normal"/>
        <w:jc w:val="center"/>
        <w:rPr>
          <w:rFonts w:cs="Arial"/>
          <w:b/>
        </w:rPr>
      </w:pPr>
      <w:r>
        <w:rPr>
          <w:rFonts w:cs="Arial"/>
          <w:b/>
        </w:rPr>
        <w:t>State-Specific Requirements for Offset Trading in the Northeast</w:t>
      </w:r>
    </w:p>
    <w:p>
      <w:pPr>
        <w:pStyle w:val="Normal"/>
        <w:jc w:val="center"/>
        <w:rPr>
          <w:rFonts w:cs="Arial"/>
          <w:b/>
        </w:rPr>
      </w:pPr>
      <w:r>
        <w:rPr>
          <w:rFonts w:cs="Arial"/>
          <w:b/>
        </w:rPr>
      </w:r>
    </w:p>
    <w:tbl>
      <w:tblPr>
        <w:tblW w:w="9576" w:type="dxa"/>
        <w:jc w:val="start"/>
        <w:tblInd w:w="0" w:type="dxa"/>
        <w:tblLayout w:type="fixed"/>
        <w:tblCellMar>
          <w:top w:w="0" w:type="dxa"/>
          <w:start w:w="108" w:type="dxa"/>
          <w:bottom w:w="0" w:type="dxa"/>
          <w:end w:w="108" w:type="dxa"/>
        </w:tblCellMar>
      </w:tblPr>
      <w:tblGrid>
        <w:gridCol w:w="1903"/>
        <w:gridCol w:w="1886"/>
        <w:gridCol w:w="2420"/>
        <w:gridCol w:w="3367"/>
      </w:tblGrid>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STATES</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Allows trade of credits based on post 1/1/90 reductions, with pre-1990 value calculations</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Allows trading of shutdown and curtailment credits</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Allows use of ERCs generated outside of ozone season to be used during season</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Connecticut</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 for DERCs</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Delaware</w:t>
            </w:r>
          </w:p>
        </w:tc>
        <w:tc>
          <w:tcPr>
            <w:tcW w:w="188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cs="Arial"/>
              </w:rPr>
            </w:pPr>
            <w:r>
              <w:rPr>
                <w:rFonts w:cs="Arial"/>
              </w:rPr>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Yes-50% traded, 25% in state, 25% retired</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DC</w:t>
            </w:r>
          </w:p>
        </w:tc>
        <w:tc>
          <w:tcPr>
            <w:tcW w:w="1886"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cs="Arial"/>
              </w:rPr>
            </w:pPr>
            <w:r>
              <w:rPr>
                <w:rFonts w:cs="Arial"/>
              </w:rPr>
            </w:r>
          </w:p>
        </w:tc>
        <w:tc>
          <w:tcPr>
            <w:tcW w:w="24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cs="Arial"/>
              </w:rPr>
            </w:pPr>
            <w:r>
              <w:rPr>
                <w:rFonts w:cs="Arial"/>
              </w:rPr>
            </w:r>
          </w:p>
        </w:tc>
        <w:tc>
          <w:tcPr>
            <w:tcW w:w="3367"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cs="Arial"/>
              </w:rPr>
            </w:pPr>
            <w:r>
              <w:rPr>
                <w:rFonts w:cs="Arial"/>
              </w:rPr>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Maine</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Maryland</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Case by case</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Case by case</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Case by case</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Massachusetts</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New Hampshire</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New Jersey</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No</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New York</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 except to states which prohibit such use</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r>
      <w:tr>
        <w:trPr/>
        <w:tc>
          <w:tcPr>
            <w:tcW w:w="1903"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Pennsylvania</w:t>
            </w:r>
          </w:p>
        </w:tc>
        <w:tc>
          <w:tcPr>
            <w:tcW w:w="1886"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c>
          <w:tcPr>
            <w:tcW w:w="2420"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 except to states which prohibit such use</w:t>
            </w:r>
          </w:p>
        </w:tc>
        <w:tc>
          <w:tcPr>
            <w:tcW w:w="3367" w:type="dxa"/>
            <w:tcBorders>
              <w:top w:val="single" w:sz="6" w:space="0" w:color="000000"/>
              <w:start w:val="single" w:sz="6" w:space="0" w:color="000000"/>
              <w:bottom w:val="single" w:sz="6" w:space="0" w:color="000000"/>
              <w:end w:val="single" w:sz="6" w:space="0" w:color="000000"/>
            </w:tcBorders>
          </w:tcPr>
          <w:p>
            <w:pPr>
              <w:pStyle w:val="Normal"/>
              <w:jc w:val="center"/>
              <w:rPr>
                <w:rFonts w:cs="Arial"/>
              </w:rPr>
            </w:pPr>
            <w:r>
              <w:rPr>
                <w:rFonts w:cs="Arial"/>
              </w:rPr>
              <w:t>Yes</w:t>
            </w:r>
          </w:p>
        </w:tc>
      </w:tr>
    </w:tbl>
    <w:p>
      <w:pPr>
        <w:pStyle w:val="Normal"/>
        <w:jc w:val="center"/>
        <w:rPr>
          <w:rFonts w:cs="Arial"/>
        </w:rPr>
      </w:pPr>
      <w:r>
        <w:rPr>
          <w:rFonts w:cs="Arial"/>
        </w:rPr>
      </w:r>
    </w:p>
    <w:p>
      <w:pPr>
        <w:pStyle w:val="Normal"/>
        <w:rPr>
          <w:rFonts w:cs="Arial"/>
        </w:rPr>
      </w:pPr>
      <w:r>
        <w:rPr>
          <w:rFonts w:cs="Arial"/>
        </w:rPr>
      </w:r>
    </w:p>
    <w:p>
      <w:pPr>
        <w:pStyle w:val="Normal"/>
        <w:rPr>
          <w:rFonts w:cs="Arial"/>
          <w:i/>
          <w:i/>
        </w:rPr>
      </w:pPr>
      <w:r>
        <w:rPr>
          <w:rFonts w:cs="Arial"/>
          <w:i/>
        </w:rPr>
        <w:t>Program Impact</w:t>
      </w:r>
    </w:p>
    <w:p>
      <w:pPr>
        <w:pStyle w:val="Normal"/>
        <w:rPr>
          <w:rFonts w:cs="Arial"/>
        </w:rPr>
      </w:pPr>
      <w:r>
        <w:rPr>
          <w:rFonts w:cs="Arial"/>
        </w:rPr>
        <w:t>The efficacy of the OTC program is controversial among state regulators.  Many regulators refer to the program as a “draft” or “incomplete”.  One reason for this view is the language in the program.  Although it is an interstate program, it reserves the right of each state to have its own requirements.  Definitions of terms and regulatory requirements vary greatly from state to state and the program does not really provide uniformity throughout the Ozone Transport Region.  As a result many states see it necessary to develop an individual MOU with other states in order to trade, regardless of the OTC program.  In addition, or perhaps as a result, there seems to have been little work in putting together the registries and tracking systems required by the agreement.</w:t>
      </w:r>
    </w:p>
    <w:p>
      <w:pPr>
        <w:pStyle w:val="Normal"/>
        <w:rPr>
          <w:rFonts w:cs="Arial"/>
        </w:rPr>
      </w:pPr>
      <w:r>
        <w:rPr>
          <w:rFonts w:cs="Arial"/>
        </w:rPr>
      </w:r>
    </w:p>
    <w:p>
      <w:pPr>
        <w:pStyle w:val="Normal"/>
        <w:rPr>
          <w:rFonts w:cs="Arial"/>
          <w:b/>
        </w:rPr>
      </w:pPr>
      <w:r>
        <w:rPr>
          <w:rFonts w:cs="Arial"/>
          <w:b/>
        </w:rPr>
        <w:t>Other Programs</w:t>
      </w:r>
    </w:p>
    <w:p>
      <w:pPr>
        <w:pStyle w:val="Normal"/>
        <w:rPr>
          <w:rFonts w:cs="Arial"/>
          <w:b/>
          <w:i/>
          <w:i/>
        </w:rPr>
      </w:pPr>
      <w:r>
        <w:rPr>
          <w:rFonts w:cs="Arial"/>
          <w:b/>
          <w:i/>
        </w:rPr>
      </w:r>
    </w:p>
    <w:p>
      <w:pPr>
        <w:pStyle w:val="Normal"/>
        <w:rPr>
          <w:rFonts w:cs="Arial"/>
        </w:rPr>
      </w:pPr>
      <w:r>
        <w:rPr>
          <w:rFonts w:cs="Arial"/>
        </w:rPr>
        <w:t>As noted above, DERCs can be traded under the OTR agreement only if regulations in both states do not prohibit the use of such credits.  The states currently allowing DERCS are New Jersey, Connecticut and Massachusetts.  New Jersey and Connecticut have established an agreement that allows trading of DERCs for various purposes.  New Jersey requires that offsets from shutdowns be reserved for in-state use, leaving overcontrol and pollution prevention reductions for trading.  Joel’s source indicated that the generating state's rules apply for the generation of the offset and the user state's rules apply for the use.</w:t>
      </w:r>
    </w:p>
    <w:p>
      <w:pPr>
        <w:pStyle w:val="Normal"/>
        <w:rPr>
          <w:rFonts w:cs="Arial"/>
        </w:rPr>
      </w:pPr>
      <w:r>
        <w:rPr>
          <w:rFonts w:cs="Arial"/>
        </w:rPr>
      </w:r>
    </w:p>
    <w:p>
      <w:pPr>
        <w:pStyle w:val="Normal"/>
        <w:rPr>
          <w:rFonts w:cs="Arial"/>
          <w:b/>
        </w:rPr>
      </w:pPr>
      <w:r>
        <w:rPr>
          <w:rFonts w:cs="Arial"/>
          <w:b/>
        </w:rPr>
        <w:t>Conclusion</w:t>
      </w:r>
    </w:p>
    <w:p>
      <w:pPr>
        <w:pStyle w:val="Normal"/>
        <w:rPr>
          <w:rFonts w:cs="Arial"/>
          <w:b/>
        </w:rPr>
      </w:pPr>
      <w:r>
        <w:rPr>
          <w:rFonts w:cs="Arial"/>
          <w:b/>
        </w:rPr>
      </w:r>
    </w:p>
    <w:p>
      <w:pPr>
        <w:pStyle w:val="Normal"/>
        <w:rPr>
          <w:rFonts w:cs="Arial"/>
        </w:rPr>
      </w:pPr>
      <w:r>
        <w:rPr>
          <w:rFonts w:cs="Arial"/>
        </w:rPr>
        <w:t xml:space="preserve">A few programs have paved the way for interstate offset trading, however implementation of such programs is not an easy road.  In a few cases states have already established MOUs under which it may be possible to trade.  These agreements exist between New York and Pennsylvania, New York and Connecticut, and Connecticut and New Jersey.  Although the OTR states have signed an interstate trading program, many uncertainties remain as to the applicability of the program.  So far it seems that additional state agreements have been necessary to establish more specific trading requirements.  </w:t>
      </w:r>
    </w:p>
    <w:p>
      <w:pPr>
        <w:pStyle w:val="CopyList"/>
        <w:rPr>
          <w:rFonts w:cs="Arial"/>
        </w:rPr>
      </w:pPr>
      <w:r>
        <w:rPr>
          <w:rFonts w:cs="Arial"/>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EEAHead1">
    <w:name w:val="EEAHead1"/>
    <w:basedOn w:val="Normal"/>
    <w:qFormat/>
    <w:pPr>
      <w:tabs>
        <w:tab w:val="clear" w:pos="540"/>
        <w:tab w:val="left" w:pos="720" w:leader="none"/>
      </w:tabs>
      <w:overflowPunct w:val="true"/>
      <w:autoSpaceDE w:val="true"/>
      <w:spacing w:before="0" w:after="120"/>
      <w:textAlignment w:val="auto"/>
    </w:pPr>
    <w:rPr>
      <w:rFonts w:ascii="Times New Roman" w:hAnsi="Times New Roman" w:cs="Times New Roman"/>
      <w:b/>
      <w:caps/>
    </w:rPr>
  </w:style>
  <w:style w:type="paragraph" w:styleId="Bullet1">
    <w:name w:val="Bullet #1"/>
    <w:basedOn w:val="Normal"/>
    <w:qFormat/>
    <w:pPr>
      <w:numPr>
        <w:ilvl w:val="0"/>
        <w:numId w:val="3"/>
      </w:numPr>
      <w:tabs>
        <w:tab w:val="clear" w:pos="540"/>
      </w:tabs>
      <w:overflowPunct w:val="true"/>
      <w:autoSpaceDE w:val="true"/>
      <w:spacing w:before="0" w:after="120"/>
      <w:ind w:hanging="360" w:start="720" w:end="0"/>
      <w:textAlignment w:val="auto"/>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2001-04-04T12:04:00Z</dcterms:created>
  <dc:creator>Mary Schoen</dc:creator>
  <dc:description/>
  <dc:language>en-CA</dc:language>
  <cp:lastModifiedBy>Mary Schoen</cp:lastModifiedBy>
  <dcterms:modified xsi:type="dcterms:W3CDTF">2001-04-04T12:25:00Z</dcterms:modified>
  <cp:revision>6</cp:revision>
  <dc:subject/>
  <dc:title>Better, Faster, Simpler Memo </dc:title>
</cp:coreProperties>
</file>