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w:b/>
          <w:bCs/>
        </w:rPr>
      </w:pPr>
      <w:r>
        <w:rPr>
          <w:rFonts w:cs="Arial" w:ascii="Arial Narrow" w:hAnsi="Arial Narrow"/>
          <w:b/>
          <w:bCs/>
        </w:rPr>
        <w:t>INTERRUPTIBLE GAS GENERAL TERMS &amp; CONDITIONS ("GTC")</w:t>
      </w:r>
    </w:p>
    <w:p>
      <w:pPr>
        <w:pStyle w:val="Normal"/>
        <w:jc w:val="center"/>
        <w:rPr>
          <w:rFonts w:ascii="Arial Narrow" w:hAnsi="Arial Narrow" w:cs="Arial"/>
          <w:b/>
          <w:bCs/>
          <w:sz w:val="20"/>
        </w:rPr>
      </w:pPr>
      <w:r>
        <w:rPr>
          <w:rFonts w:cs="Arial" w:ascii="Arial Narrow" w:hAnsi="Arial Narrow"/>
          <w:b/>
          <w:bCs/>
          <w:sz w:val="20"/>
        </w:rPr>
      </w:r>
    </w:p>
    <w:p>
      <w:pPr>
        <w:pStyle w:val="Normal"/>
        <w:tabs>
          <w:tab w:val="clear" w:pos="720"/>
          <w:tab w:val="left" w:pos="360" w:leader="none"/>
        </w:tabs>
        <w:jc w:val="both"/>
        <w:rPr/>
      </w:pPr>
      <w:r>
        <w:rPr>
          <w:rFonts w:cs="Arial" w:ascii="Arial Narrow" w:hAnsi="Arial Narrow"/>
          <w:b/>
          <w:bCs/>
          <w:sz w:val="20"/>
          <w:szCs w:val="20"/>
          <w:u w:val="single"/>
        </w:rPr>
        <w:t>1. Transactions</w:t>
      </w:r>
      <w:r>
        <w:rPr>
          <w:rFonts w:cs="Arial" w:ascii="Arial Narrow" w:hAnsi="Arial Narrow"/>
          <w:sz w:val="20"/>
          <w:szCs w:val="20"/>
        </w:rPr>
        <w:t>.  UBS AG, a bank organized under the laws of Switzerland ("</w:t>
      </w:r>
      <w:r>
        <w:rPr>
          <w:rFonts w:cs="Arial" w:ascii="Arial Narrow" w:hAnsi="Arial Narrow"/>
          <w:sz w:val="20"/>
          <w:szCs w:val="20"/>
          <w:u w:val="single"/>
        </w:rPr>
        <w:t>UBS</w:t>
      </w:r>
      <w:r>
        <w:rPr>
          <w:rFonts w:cs="Arial" w:ascii="Arial Narrow" w:hAnsi="Arial Narrow"/>
          <w:sz w:val="20"/>
          <w:szCs w:val="20"/>
        </w:rPr>
        <w:t>"), and counterparty from time to time may engage in transactions pursuant to this GTC and confirmations of transactions ("</w:t>
      </w:r>
      <w:r>
        <w:rPr>
          <w:rFonts w:cs="Arial" w:ascii="Arial Narrow" w:hAnsi="Arial Narrow"/>
          <w:sz w:val="20"/>
          <w:szCs w:val="20"/>
          <w:u w:val="single"/>
        </w:rPr>
        <w:t>Confirmations</w:t>
      </w:r>
      <w:r>
        <w:rPr>
          <w:rFonts w:cs="Arial" w:ascii="Arial Narrow" w:hAnsi="Arial Narrow"/>
          <w:sz w:val="20"/>
          <w:szCs w:val="20"/>
        </w:rPr>
        <w:t>") referencing this GTC, which may be issued at the discretion of UBS (each a "</w:t>
      </w:r>
      <w:r>
        <w:rPr>
          <w:rFonts w:cs="Arial" w:ascii="Arial Narrow" w:hAnsi="Arial Narrow"/>
          <w:sz w:val="20"/>
          <w:szCs w:val="20"/>
          <w:u w:val="single"/>
        </w:rPr>
        <w:t>Transaction</w:t>
      </w:r>
      <w:r>
        <w:rPr>
          <w:rFonts w:cs="Arial" w:ascii="Arial Narrow" w:hAnsi="Arial Narrow"/>
          <w:sz w:val="20"/>
          <w:szCs w:val="20"/>
        </w:rPr>
        <w:t>" and collectively, the "</w:t>
      </w:r>
      <w:r>
        <w:rPr>
          <w:rFonts w:cs="Arial" w:ascii="Arial Narrow" w:hAnsi="Arial Narrow"/>
          <w:sz w:val="20"/>
          <w:szCs w:val="20"/>
          <w:u w:val="single"/>
        </w:rPr>
        <w:t>Transactions</w:t>
      </w:r>
      <w:r>
        <w:rPr>
          <w:rFonts w:cs="Arial" w:ascii="Arial Narrow" w:hAnsi="Arial Narrow"/>
          <w:sz w:val="20"/>
          <w:szCs w:val="20"/>
        </w:rPr>
        <w:t xml:space="preserve">").  Transactions may be formed in a telephone conversation between the parties that may be recorded by UBS whereby an offer and acceptance shall constitute the valid and enforceable agreement of the parties subject to this GTC.  </w:t>
      </w:r>
      <w:r>
        <w:rPr>
          <w:rFonts w:cs="Arial" w:ascii="Arial Narrow" w:hAnsi="Arial Narrow"/>
          <w:sz w:val="20"/>
        </w:rPr>
        <w:t xml:space="preserve">Any Transaction formed pursuant to the foregoing shall be considered a "writing" or "in writing" and to have been "signed" and any tape recording thereof shall constitute an "original" document evidencing the Transaction.  The parties agree not to contest or assert a defense to the validity or enforceability of telephonic Transactions entered into in accordance with this GTC under laws relating to (i) whether certain agreements are to be in writing or signed by the party to be thereby bound or (ii) the authority of any employee of such party.  Upon issuance of any Confirmation, if no objection to the Confirmation has been received in accordance with applicable law, the Confirmation and this GTC shall be conclusive evidence of the Transaction made the subject matter thereof and the final expression of all of its terms.  </w:t>
      </w:r>
      <w:r>
        <w:rPr>
          <w:rFonts w:cs="Arial" w:ascii="Arial Narrow" w:hAnsi="Arial Narrow"/>
          <w:sz w:val="20"/>
          <w:szCs w:val="20"/>
        </w:rPr>
        <w:t xml:space="preserve">  Definitions applicable to certain capitalized terms herein used are set forth in </w:t>
      </w:r>
      <w:r>
        <w:rPr>
          <w:rFonts w:cs="Arial" w:ascii="Arial Narrow" w:hAnsi="Arial Narrow"/>
          <w:sz w:val="20"/>
          <w:szCs w:val="20"/>
          <w:u w:val="single"/>
        </w:rPr>
        <w:t>Section 16</w:t>
      </w:r>
      <w:r>
        <w:rPr>
          <w:rFonts w:cs="Arial" w:ascii="Arial Narrow" w:hAnsi="Arial Narrow"/>
          <w:sz w:val="20"/>
          <w:szCs w:val="20"/>
        </w:rPr>
        <w:t xml:space="preserve">.  All Transactions hereunder and all transactions made pursuant to the Interruptible Gas General Terms &amp; Conditions (Online), but transacted on the Website therein defined, shall be considered a single master agreement until such time as the foregoing are hereafter governed by a master agreement between the parties as may be therein set forth.  </w:t>
      </w:r>
      <w:r>
        <w:rPr>
          <w:rFonts w:cs="Arial" w:ascii="Arial Narrow" w:hAnsi="Arial Narrow"/>
          <w:sz w:val="20"/>
        </w:rPr>
        <w:t>In the event of any inconsistency between the Transaction (as may be evidenced by a Confirmation thereof, if any), and this GTC or any master agreement that may govern the Transaction as set forth in the preceding sentence, the terms of the Transaction shall govern.  In entering into this Transaction UBS is acting through the branch specified in any applicable Transaction or Confirmation.  Notwithstanding the place of booking office or jurisdiction of incorporation or organization of such branch, the obligations of UBS are the same as if UBS had entered into the Transaction through its head or home office.</w:t>
      </w:r>
    </w:p>
    <w:p>
      <w:pPr>
        <w:pStyle w:val="Normal"/>
        <w:tabs>
          <w:tab w:val="clear" w:pos="720"/>
          <w:tab w:val="left" w:pos="360" w:leader="none"/>
        </w:tabs>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b/>
          <w:bCs/>
          <w:sz w:val="20"/>
          <w:szCs w:val="20"/>
          <w:u w:val="single"/>
        </w:rPr>
        <w:t>2. Quantity Obligations and Costs</w:t>
      </w:r>
      <w:r>
        <w:rPr>
          <w:rFonts w:cs="Arial" w:ascii="Arial Narrow" w:hAnsi="Arial Narrow"/>
          <w:sz w:val="20"/>
          <w:szCs w:val="20"/>
        </w:rPr>
        <w:t xml:space="preserve">.  The </w:t>
      </w:r>
      <w:r>
        <w:rPr>
          <w:rFonts w:cs="Arial" w:ascii="Arial Narrow" w:hAnsi="Arial Narrow"/>
          <w:b/>
          <w:bCs/>
          <w:sz w:val="20"/>
          <w:szCs w:val="20"/>
        </w:rPr>
        <w:t>Daily Contract Quantity</w:t>
      </w:r>
      <w:r>
        <w:rPr>
          <w:rFonts w:cs="Arial" w:ascii="Arial Narrow" w:hAnsi="Arial Narrow"/>
          <w:sz w:val="20"/>
          <w:szCs w:val="20"/>
        </w:rPr>
        <w:t xml:space="preserve"> shall be scheduled on an interruptible basis by </w:t>
      </w:r>
      <w:r>
        <w:rPr>
          <w:rFonts w:cs="Arial" w:ascii="Arial Narrow" w:hAnsi="Arial Narrow"/>
          <w:b/>
          <w:bCs/>
          <w:sz w:val="20"/>
          <w:szCs w:val="20"/>
        </w:rPr>
        <w:t xml:space="preserve">Seller </w:t>
      </w:r>
      <w:r>
        <w:rPr>
          <w:rFonts w:cs="Arial" w:ascii="Arial Narrow" w:hAnsi="Arial Narrow"/>
          <w:sz w:val="20"/>
          <w:szCs w:val="20"/>
        </w:rPr>
        <w:t xml:space="preserve">and </w:t>
      </w:r>
      <w:r>
        <w:rPr>
          <w:rFonts w:cs="Arial" w:ascii="Arial Narrow" w:hAnsi="Arial Narrow"/>
          <w:b/>
          <w:bCs/>
          <w:sz w:val="20"/>
          <w:szCs w:val="20"/>
        </w:rPr>
        <w:t xml:space="preserve">Buyer </w:t>
      </w:r>
      <w:r>
        <w:rPr>
          <w:rFonts w:cs="Arial" w:ascii="Arial Narrow" w:hAnsi="Arial Narrow"/>
          <w:sz w:val="20"/>
          <w:szCs w:val="20"/>
        </w:rPr>
        <w:t xml:space="preserve">at the </w:t>
      </w:r>
      <w:r>
        <w:rPr>
          <w:rFonts w:cs="Arial" w:ascii="Arial Narrow" w:hAnsi="Arial Narrow"/>
          <w:b/>
          <w:bCs/>
          <w:sz w:val="20"/>
          <w:szCs w:val="20"/>
        </w:rPr>
        <w:t>Delivery Point(s)</w:t>
      </w:r>
      <w:r>
        <w:rPr>
          <w:rFonts w:cs="Arial" w:ascii="Arial Narrow" w:hAnsi="Arial Narrow"/>
          <w:sz w:val="20"/>
          <w:szCs w:val="20"/>
        </w:rPr>
        <w:t xml:space="preserve"> during the </w:t>
      </w:r>
      <w:r>
        <w:rPr>
          <w:rFonts w:cs="Arial" w:ascii="Arial Narrow" w:hAnsi="Arial Narrow"/>
          <w:b/>
          <w:bCs/>
          <w:sz w:val="20"/>
          <w:szCs w:val="20"/>
        </w:rPr>
        <w:t>Period of Delivery</w:t>
      </w:r>
      <w:r>
        <w:rPr>
          <w:rFonts w:cs="Arial" w:ascii="Arial Narrow" w:hAnsi="Arial Narrow"/>
          <w:sz w:val="20"/>
          <w:szCs w:val="20"/>
        </w:rPr>
        <w:t xml:space="preserve"> and at the </w:t>
      </w:r>
      <w:r>
        <w:rPr>
          <w:rFonts w:cs="Arial" w:ascii="Arial Narrow" w:hAnsi="Arial Narrow"/>
          <w:b/>
          <w:bCs/>
          <w:sz w:val="20"/>
          <w:szCs w:val="20"/>
        </w:rPr>
        <w:t xml:space="preserve">Contract Price </w:t>
      </w:r>
      <w:r>
        <w:rPr>
          <w:rFonts w:cs="Arial" w:ascii="Arial Narrow" w:hAnsi="Arial Narrow"/>
          <w:sz w:val="20"/>
          <w:szCs w:val="20"/>
        </w:rPr>
        <w:t xml:space="preserve">as such terms are designated in each Transaction.  </w:t>
      </w:r>
      <w:r>
        <w:rPr>
          <w:rFonts w:cs="Arial Narrow" w:ascii="Arial Narrow" w:hAnsi="Arial Narrow"/>
          <w:sz w:val="20"/>
        </w:rPr>
        <w:t xml:space="preserve">Either party may, in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Should an interruption occur without the required notice for any reason, including any claim of force majeure, the interrupting party shall be liable for and pay all associated penalties and cashout costs and losses charged by any transporter as a result of such interruption. </w:t>
      </w:r>
    </w:p>
    <w:p>
      <w:pPr>
        <w:pStyle w:val="Normal"/>
        <w:jc w:val="both"/>
        <w:rPr>
          <w:rFonts w:cs="Arial"/>
        </w:rPr>
      </w:pPr>
      <w:r>
        <w:rPr>
          <w:rFonts w:eastAsia="Arial Narrow" w:cs="Arial Narrow" w:ascii="Arial Narrow" w:hAnsi="Arial Narrow"/>
          <w:sz w:val="20"/>
          <w:szCs w:val="20"/>
        </w:rPr>
        <w:t xml:space="preserve">  </w:t>
      </w:r>
    </w:p>
    <w:p>
      <w:pPr>
        <w:pStyle w:val="Normal"/>
        <w:jc w:val="both"/>
        <w:rPr/>
      </w:pPr>
      <w:r>
        <w:rPr>
          <w:rFonts w:cs="Arial" w:ascii="Arial Narrow" w:hAnsi="Arial Narrow"/>
          <w:b/>
          <w:bCs/>
          <w:sz w:val="20"/>
          <w:szCs w:val="20"/>
          <w:u w:val="single"/>
        </w:rPr>
        <w:t>3. Events of Default and Early Termination</w:t>
      </w:r>
      <w:r>
        <w:rPr>
          <w:rFonts w:cs="Arial" w:ascii="Arial Narrow" w:hAnsi="Arial Narrow"/>
          <w:sz w:val="20"/>
          <w:szCs w:val="20"/>
        </w:rPr>
        <w:t xml:space="preserve">.  </w:t>
      </w:r>
      <w:r>
        <w:rPr>
          <w:rFonts w:cs="Arial" w:ascii="Arial Narrow" w:hAnsi="Arial Narrow"/>
          <w:sz w:val="20"/>
        </w:rPr>
        <w:t>If an Event of Default shall have occurred and shall be continuing the non-defaulting party may, in its sole discretion, by no more than 20 days notice to the Defaulting Party designate a day no earlier than the day such notice is effective as an early termination date (the "</w:t>
      </w:r>
      <w:r>
        <w:rPr>
          <w:rFonts w:cs="Arial" w:ascii="Arial Narrow" w:hAnsi="Arial Narrow"/>
          <w:sz w:val="20"/>
          <w:u w:val="single"/>
        </w:rPr>
        <w:t>Early Termination Date</w:t>
      </w:r>
      <w:r>
        <w:rPr>
          <w:rFonts w:cs="Arial" w:ascii="Arial Narrow" w:hAnsi="Arial Narrow"/>
          <w:sz w:val="20"/>
        </w:rPr>
        <w:t xml:space="preserve">").  On the Early Termination Date the obligations under all Transactions with respect to all Periods of Delivery that would have ended on or after the Early Termination Date shall be terminated.  </w:t>
      </w:r>
      <w:r>
        <w:rPr>
          <w:rFonts w:cs="Arial" w:ascii="Arial Narrow" w:hAnsi="Arial Narrow"/>
          <w:sz w:val="20"/>
          <w:szCs w:val="20"/>
        </w:rPr>
        <w:t>On or as soon as reasonably practicable following the occurrence of an Early Termination Date</w:t>
      </w:r>
      <w:r>
        <w:rPr>
          <w:rFonts w:cs="Arial" w:ascii="Arial Narrow" w:hAnsi="Arial Narrow"/>
          <w:sz w:val="20"/>
        </w:rPr>
        <w:t>, the non-defaulting party shall in good faith calculate the Losses resulting from the termination of the parties' obligations under all Transactions (the "</w:t>
      </w:r>
      <w:r>
        <w:rPr>
          <w:rFonts w:cs="Arial" w:ascii="Arial Narrow" w:hAnsi="Arial Narrow"/>
          <w:sz w:val="20"/>
          <w:u w:val="single"/>
        </w:rPr>
        <w:t>Termination Payment</w:t>
      </w:r>
      <w:r>
        <w:rPr>
          <w:rFonts w:cs="Arial" w:ascii="Arial Narrow" w:hAnsi="Arial Narrow"/>
          <w:sz w:val="20"/>
        </w:rPr>
        <w:t xml:space="preserve">") and promptly notify the Defaulting Party thereof.  If the Termination Payment is a positive amount the Defaulting Party shall, within five Business Days of receipt of notice, pay the Termination Payment to the non-defaulting party, which Termination Payment shall accrue interest at the Interest Rate from the Early Termination Date until paid.  If the Termination Payment is a negative amount, subject to the rights of setoff set forth in </w:t>
      </w:r>
      <w:r>
        <w:rPr>
          <w:rFonts w:cs="Arial" w:ascii="Arial Narrow" w:hAnsi="Arial Narrow"/>
          <w:sz w:val="20"/>
          <w:u w:val="single"/>
        </w:rPr>
        <w:t>Section 4</w:t>
      </w:r>
      <w:r>
        <w:rPr>
          <w:rFonts w:cs="Arial" w:ascii="Arial Narrow" w:hAnsi="Arial Narrow"/>
          <w:sz w:val="20"/>
        </w:rPr>
        <w:t xml:space="preserve">, the non-defaulting party shall pay the absolute value of the Termination Payment to the Defaulting Party within five Business Days of such determination.  </w:t>
      </w:r>
    </w:p>
    <w:p>
      <w:pPr>
        <w:pStyle w:val="Normal"/>
        <w:jc w:val="both"/>
        <w:rPr>
          <w:rFonts w:ascii="Arial Narrow" w:hAnsi="Arial Narrow" w:cs="Arial"/>
          <w:sz w:val="20"/>
        </w:rPr>
      </w:pPr>
      <w:r>
        <w:rPr>
          <w:rFonts w:cs="Arial" w:ascii="Arial Narrow" w:hAnsi="Arial Narrow"/>
          <w:sz w:val="20"/>
        </w:rPr>
      </w:r>
    </w:p>
    <w:p>
      <w:pPr>
        <w:pStyle w:val="Normal"/>
        <w:tabs>
          <w:tab w:val="clear" w:pos="720"/>
          <w:tab w:val="left" w:pos="810" w:leader="none"/>
          <w:tab w:val="left" w:pos="1170" w:leader="none"/>
        </w:tabs>
        <w:jc w:val="both"/>
        <w:rPr/>
      </w:pPr>
      <w:r>
        <w:rPr>
          <w:rFonts w:cs="Arial" w:ascii="Arial Narrow" w:hAnsi="Arial Narrow"/>
          <w:b/>
          <w:bCs/>
          <w:sz w:val="20"/>
          <w:szCs w:val="20"/>
          <w:u w:val="single"/>
        </w:rPr>
        <w:t>4. Setoff</w:t>
      </w:r>
      <w:r>
        <w:rPr>
          <w:rFonts w:cs="Arial" w:ascii="Arial Narrow" w:hAnsi="Arial Narrow"/>
          <w:sz w:val="20"/>
          <w:szCs w:val="20"/>
        </w:rPr>
        <w:t xml:space="preserve">.  </w:t>
      </w:r>
      <w:r>
        <w:rPr>
          <w:rFonts w:cs="Arial" w:ascii="Arial Narrow" w:hAnsi="Arial Narrow"/>
          <w:sz w:val="20"/>
        </w:rPr>
        <w:t>Upon the designation of an Early Termination Date, the non-defaulting party ("</w:t>
      </w:r>
      <w:r>
        <w:rPr>
          <w:rFonts w:cs="Arial" w:ascii="Arial Narrow" w:hAnsi="Arial Narrow"/>
          <w:sz w:val="20"/>
          <w:u w:val="single"/>
        </w:rPr>
        <w:t>X</w:t>
      </w:r>
      <w:r>
        <w:rPr>
          <w:rFonts w:cs="Arial" w:ascii="Arial Narrow" w:hAnsi="Arial Narrow"/>
          <w:sz w:val="20"/>
        </w:rPr>
        <w:t>") may, at its option and in its discretion, setoff, against any amounts Owed to the Defaulting Party ("</w:t>
      </w:r>
      <w:r>
        <w:rPr>
          <w:rFonts w:cs="Arial" w:ascii="Arial Narrow" w:hAnsi="Arial Narrow"/>
          <w:sz w:val="20"/>
          <w:u w:val="single"/>
        </w:rPr>
        <w:t>Y</w:t>
      </w:r>
      <w:r>
        <w:rPr>
          <w:rFonts w:cs="Arial" w:ascii="Arial Narrow" w:hAnsi="Arial Narrow"/>
          <w:sz w:val="20"/>
        </w:rPr>
        <w:t xml:space="preserve">") in Dollars or any other currency by X or any Affiliate of X under this GTC, or under any other agreement(s), instrument(s) or undertaking(s), any amounts Owed in Dollars or any other currency by Y to X or any of X's Affiliates under this GTC, or under any other agreement(s), instrument(s) or undertaking(s).  The obligations of Y and X under this GTC in respect of such amounts shall be deemed satisfied and discharged to the extent of any such setoff exercised by X and/or X's Affiliates.  X will give Y notice of any setoff effected under this </w:t>
      </w:r>
      <w:r>
        <w:rPr>
          <w:rFonts w:cs="Arial" w:ascii="Arial Narrow" w:hAnsi="Arial Narrow"/>
          <w:sz w:val="20"/>
          <w:u w:val="single"/>
        </w:rPr>
        <w:t>Section 4</w:t>
      </w:r>
      <w:r>
        <w:rPr>
          <w:rFonts w:cs="Arial" w:ascii="Arial Narrow" w:hAnsi="Arial Narrow"/>
          <w:sz w:val="20"/>
        </w:rPr>
        <w:t xml:space="preserve"> as soon as practicable after the setoff is effected provided that failure to give such notice shall not affect the validity of the setoff.  Amounts subject to the setoff permitted in this </w:t>
      </w:r>
      <w:r>
        <w:rPr>
          <w:rFonts w:cs="Arial" w:ascii="Arial Narrow" w:hAnsi="Arial Narrow"/>
          <w:sz w:val="20"/>
          <w:u w:val="single"/>
        </w:rPr>
        <w:t>Section 4</w:t>
      </w:r>
      <w:r>
        <w:rPr>
          <w:rFonts w:cs="Arial" w:ascii="Arial Narrow" w:hAnsi="Arial Narrow"/>
          <w:sz w:val="20"/>
        </w:rPr>
        <w:t xml:space="preserve">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w:t>
      </w:r>
      <w:r>
        <w:rPr>
          <w:rFonts w:cs="Arial" w:ascii="Arial Narrow" w:hAnsi="Arial Narrow"/>
          <w:sz w:val="20"/>
          <w:u w:val="single"/>
        </w:rPr>
        <w:t>Section 4</w:t>
      </w:r>
      <w:r>
        <w:rPr>
          <w:rFonts w:cs="Arial" w:ascii="Arial Narrow" w:hAnsi="Arial Narrow"/>
          <w:sz w:val="20"/>
        </w:rPr>
        <w:t xml:space="preserve">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The parties further acknowledge that each is executing this GTC on behalf of itself as principal and, with respect to this </w:t>
      </w:r>
      <w:r>
        <w:rPr>
          <w:rFonts w:cs="Arial" w:ascii="Arial Narrow" w:hAnsi="Arial Narrow"/>
          <w:sz w:val="20"/>
          <w:u w:val="single"/>
        </w:rPr>
        <w:t>Section 4</w:t>
      </w:r>
      <w:r>
        <w:rPr>
          <w:rFonts w:cs="Arial" w:ascii="Arial Narrow" w:hAnsi="Arial Narrow"/>
          <w:sz w:val="20"/>
        </w:rPr>
        <w:t xml:space="preserve">, as agent on behalf of its Affiliates, which Affiliates shall receive the benefits of this </w:t>
      </w:r>
      <w:r>
        <w:rPr>
          <w:rFonts w:cs="Arial" w:ascii="Arial Narrow" w:hAnsi="Arial Narrow"/>
          <w:sz w:val="20"/>
          <w:u w:val="single"/>
        </w:rPr>
        <w:t>Section 4</w:t>
      </w:r>
      <w:r>
        <w:rPr>
          <w:rFonts w:cs="Arial" w:ascii="Arial Narrow" w:hAnsi="Arial Narrow"/>
          <w:sz w:val="20"/>
        </w:rPr>
        <w:t xml:space="preserve"> and otherwise be bound as if such Affiliates had entered into this GTC as its relates to </w:t>
      </w:r>
      <w:r>
        <w:rPr>
          <w:rFonts w:cs="Arial" w:ascii="Arial Narrow" w:hAnsi="Arial Narrow"/>
          <w:sz w:val="20"/>
          <w:u w:val="single"/>
        </w:rPr>
        <w:t>Section 4</w:t>
      </w:r>
      <w:r>
        <w:rPr>
          <w:rFonts w:cs="Arial" w:ascii="Arial Narrow" w:hAnsi="Arial Narrow"/>
          <w:sz w:val="20"/>
        </w:rPr>
        <w:t xml:space="preserve">.  Notwithstanding any provision to the contrary contained in this GTC, the non-defaulting party shall not be required to pay to the Defaulting Party any amount under </w:t>
      </w:r>
      <w:r>
        <w:rPr>
          <w:rFonts w:cs="Arial" w:ascii="Arial Narrow" w:hAnsi="Arial Narrow"/>
          <w:sz w:val="20"/>
          <w:u w:val="single"/>
        </w:rPr>
        <w:t>Section 4</w:t>
      </w:r>
      <w:r>
        <w:rPr>
          <w:rFonts w:cs="Arial" w:ascii="Arial Narrow" w:hAnsi="Arial Narrow"/>
          <w:sz w:val="20"/>
        </w:rPr>
        <w:t xml:space="preserve"> until the non-defaulting party receives confirmation satisfactory to it in its reasonable discretion (which may include an opinion of its counsel) that all other obligations of any kind whatsoever of Defaulting Party to make any payments to the non-defaulting party under this GTC, or any other agreement(s), instrument(s) or undertaking(s), which are Owed as of the Early Termination Date have been fully and finally satisfied.</w:t>
      </w:r>
    </w:p>
    <w:p>
      <w:pPr>
        <w:pStyle w:val="Normal"/>
        <w:jc w:val="both"/>
        <w:rPr>
          <w:rFonts w:cs="Arial"/>
        </w:rPr>
      </w:pPr>
      <w:r>
        <w:rPr>
          <w:rFonts w:eastAsia="Arial Narrow" w:cs="Arial Narrow" w:ascii="Arial Narrow" w:hAnsi="Arial Narrow"/>
          <w:sz w:val="20"/>
          <w:szCs w:val="20"/>
        </w:rPr>
        <w:t xml:space="preserve"> </w:t>
      </w:r>
    </w:p>
    <w:p>
      <w:pPr>
        <w:pStyle w:val="Normal"/>
        <w:jc w:val="both"/>
        <w:rPr/>
      </w:pPr>
      <w:r>
        <w:rPr>
          <w:rFonts w:cs="Arial" w:ascii="Arial Narrow" w:hAnsi="Arial Narrow"/>
          <w:b/>
          <w:bCs/>
          <w:sz w:val="20"/>
          <w:u w:val="single"/>
        </w:rPr>
        <w:t>5. Payments and Pricing</w:t>
      </w:r>
      <w:r>
        <w:rPr>
          <w:rFonts w:cs="Arial" w:ascii="Arial Narrow" w:hAnsi="Arial Narrow"/>
          <w:sz w:val="20"/>
        </w:rPr>
        <w:t xml:space="preserve">.  By the 10th day of each month Seller shall provide Buyer a written statement covering the preceding month.  Billing and payment will be based on scheduled quantities.  </w:t>
      </w:r>
      <w:r>
        <w:rPr>
          <w:rFonts w:cs="Arial" w:ascii="Arial Narrow" w:hAnsi="Arial Narrow"/>
          <w:sz w:val="20"/>
          <w:szCs w:val="20"/>
        </w:rPr>
        <w:t xml:space="preserve">Differences between scheduled quantities and actual quantities delivered and received hereunder will be corrected or settled in cash or gas or by offset as the parties agree.  </w:t>
      </w:r>
      <w:r>
        <w:rPr>
          <w:rFonts w:cs="Arial" w:ascii="Arial Narrow" w:hAnsi="Arial Narrow"/>
          <w:sz w:val="20"/>
        </w:rPr>
        <w:t xml:space="preserve">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w:t>
      </w:r>
      <w:r>
        <w:rPr>
          <w:rFonts w:cs="Arial" w:ascii="Arial Narrow" w:hAnsi="Arial Narrow"/>
          <w:sz w:val="20"/>
          <w:u w:val="single"/>
        </w:rPr>
        <w:t>Section 5</w:t>
      </w:r>
      <w:r>
        <w:rPr>
          <w:rFonts w:cs="Arial" w:ascii="Arial Narrow" w:hAnsi="Arial Narrow"/>
          <w:sz w:val="20"/>
        </w:rPr>
        <w:t xml:space="preserve"> are due by the 25th day of the month in which the statement therefor was received (the "</w:t>
      </w:r>
      <w:r>
        <w:rPr>
          <w:rFonts w:cs="Arial" w:ascii="Arial Narrow" w:hAnsi="Arial Narrow"/>
          <w:sz w:val="20"/>
          <w:u w:val="single"/>
        </w:rPr>
        <w:t>Payment Date</w:t>
      </w:r>
      <w:r>
        <w:rPr>
          <w:rFonts w:cs="Arial" w:ascii="Arial Narrow" w:hAnsi="Arial Narrow"/>
          <w:sz w:val="20"/>
        </w:rPr>
        <w:t xml:space="preserve">"), which amounts shall accrue interest at the Interest Rate from the Payment Date until paid.  If any date for any payment to be made under this GTC is not a Business Day, the due date for such payment shall be the following Business Day.  Payment of all funds shall be made by wire payment in such manner that U.S. funds are immediately available to the payee on the applicable due date.  If UBS and counterparty are each required to pay an amount in the same month pursuant to Transactions under this GTC, or any other transaction for the purchase or sale of gas between the parties, then such amounts with respect to each party shall be aggregated and the parties shall discharge their obligations to pay through netting, in which case the party owing the greater aggregate amount shall pay to the other party the difference between the amounts owed; provided, the obligation to net payments shall apply separately to each branch of UBS in respect of Transactions identifying such branch as the branch through which the parties make and receive payments.  If the price published or announced on a given day and used to determine the Contract Price is corrected by publication or announcement by the same price source within 30 days of the original publication or announcement, the party that originally either received or retained the amount subject to the correction will pay such amount to the other party on the next Payment Date.  If a Market Disruption Event has occurred and is continuing on any day during the Period of Delivery and the Contract Price for such day is not determinable, the Contract Price for such day shall be determined pursuant to the relevant price source specified in this GTC or the Transaction for the first day thereafter on which no Market Disruption Event exists; provided, if the Contract Price is not so determinable within three Business Days after the first day on which the Market Disruption Event occurred or existed, then the parties shall negotiate in good faith to agree upon a Contract Price (or a method for its determination), and if the parties have not so agreed on or before the twelfth Business Day following the first day on which the Market Disruption Event occurred or existed, then the Contract Price shall be determined in good faith by UBS determining the average of two or more bona fide third party quotes. </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b/>
          <w:bCs/>
          <w:sz w:val="20"/>
          <w:szCs w:val="20"/>
          <w:u w:val="single"/>
        </w:rPr>
        <w:t>6. Taxes</w:t>
      </w:r>
      <w:r>
        <w:rPr>
          <w:rFonts w:cs="Arial" w:ascii="Arial Narrow" w:hAnsi="Arial Narrow"/>
          <w:sz w:val="20"/>
          <w:szCs w:val="20"/>
        </w:rPr>
        <w:t>.</w:t>
      </w:r>
      <w:r>
        <w:rPr>
          <w:rFonts w:cs="Arial" w:ascii="Arial Narrow" w:hAnsi="Arial Narrow"/>
          <w:b/>
          <w:bCs/>
          <w:sz w:val="20"/>
          <w:szCs w:val="20"/>
        </w:rPr>
        <w:t xml:space="preserve">  </w:t>
      </w:r>
      <w:r>
        <w:rPr>
          <w:rFonts w:cs="Arial" w:ascii="Arial Narrow" w:hAnsi="Arial Narrow"/>
          <w:sz w:val="20"/>
          <w:szCs w:val="20"/>
        </w:rPr>
        <w:t xml:space="preserve">The Contract Price includes full reimbursement for, and </w:t>
      </w:r>
      <w:r>
        <w:rPr>
          <w:rFonts w:cs="Arial" w:ascii="Arial Narrow" w:hAnsi="Arial Narrow"/>
          <w:sz w:val="20"/>
        </w:rPr>
        <w:t xml:space="preserve">Seller shall be liable for and shall pay, or cause to be paid, or reimburse Buyer, if Buyer has paid, all Taxes applicable to the gas sold hereunder upstream of the Delivery Point(s).  If Buyer is required to remit such Tax, the amount thereof shall be deducted from any sums becoming due to Seller hereunder.  </w:t>
      </w:r>
      <w:r>
        <w:rPr>
          <w:rFonts w:cs="Arial" w:ascii="Arial Narrow" w:hAnsi="Arial Narrow"/>
          <w:sz w:val="20"/>
          <w:szCs w:val="20"/>
        </w:rPr>
        <w:t xml:space="preserve">The Contract Price does not include reimbursement for, and </w:t>
      </w:r>
      <w:r>
        <w:rPr>
          <w:rFonts w:cs="Arial" w:ascii="Arial Narrow" w:hAnsi="Arial Narrow"/>
          <w:sz w:val="20"/>
        </w:rPr>
        <w:t xml:space="preserve">Buyer shall be liable for and shall pay, cause to be paid, or reimburse Seller, if Seller has paid, all Taxes applicable to the sale and/or delivery of gas hereunder at and downstream of the Delivery Point(s) including any Taxes imposed or collected by a taxing authority with jurisdiction over Buyer; provided, when laws, ordinances or regulations permit or impose upon Seller the obligation to collect or pay Taxes applicable to the sale and/or delivery of gas hereunder at the Delivery Point, Seller shall collect all such Taxes from Buyer, which shall be in addition to the Contract Price, and remit the same to the appropriate governmental authority.  Seller or Buyer shall indemnify, defend, and hold the other party harmless from and against any liability with respect to Taxes for which Seller or Buyer, as applicable, is liable hereunder.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agrees to complete, accurately and in a manner reasonably satisfactory to the other party, and to execute, arrange for any required certification of, and deliver to the other party (or to such government or taxing authority as the other party reasonably directs), any form or document that may be required or reasonably requested in order to allow the other party or its guarantor to make a payment hereunder or under any applicable guaranty without any deduction or withholding for or on account of any Tax or with such deduction or withholding at a reduced rate, promptly upon request of the other party.  Notwithstanding the foregoing, (i) in the event that Buyer is purchasing the gas for delivery in any of the provinces of British Columbia, Ontario or Quebec, Buyer must provide to Seller a completed exemption certificate or drop-shipment certificate, as appropriate, i.e., a B.C. Certificate of Exemption, Ontario Purchase Exemption Certificate or Quebec Drop-Shipment Certificate, and (ii) a party is not liable for any applicable Taxes that are legally imposed on the other party and that are refundable to the other party, including, without limitation, the Canadian Goods and Services Tax.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b/>
          <w:bCs/>
          <w:sz w:val="20"/>
          <w:szCs w:val="20"/>
          <w:u w:val="single"/>
        </w:rPr>
        <w:t>7. Title, Risk of Loss and Indemnity</w:t>
      </w:r>
      <w:r>
        <w:rPr>
          <w:rFonts w:cs="Arial" w:ascii="Arial Narrow" w:hAnsi="Arial Narrow"/>
          <w:sz w:val="20"/>
          <w:szCs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w:ascii="Arial Narrow" w:hAnsi="Arial Narrow"/>
          <w:b/>
          <w:bCs/>
          <w:sz w:val="20"/>
          <w:szCs w:val="20"/>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Narrow" w:hAnsi="Arial Narrow"/>
          <w:sz w:val="20"/>
          <w:szCs w:val="20"/>
        </w:rPr>
        <w:t xml:space="preserve">  Title to the gas scheduled hereunder shall pass from Seller to Buyer at the Delivery Point(s).  </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b/>
          <w:bCs/>
          <w:sz w:val="20"/>
          <w:u w:val="single"/>
        </w:rPr>
        <w:t>8. Operations and Delivery</w:t>
      </w:r>
      <w:r>
        <w:rPr>
          <w:rFonts w:cs="Arial" w:ascii="Arial Narrow" w:hAnsi="Arial Narrow"/>
          <w:sz w:val="20"/>
        </w:rPr>
        <w:t>.</w:t>
      </w:r>
      <w:r>
        <w:rPr>
          <w:rFonts w:cs="Arial" w:ascii="Arial Narrow" w:hAnsi="Arial Narrow"/>
          <w:b/>
          <w:bCs/>
          <w:sz w:val="20"/>
        </w:rPr>
        <w:t xml:space="preserve">  </w:t>
      </w:r>
      <w:r>
        <w:rPr>
          <w:rFonts w:cs="Arial" w:ascii="Arial Narrow" w:hAnsi="Arial Narrow"/>
          <w:sz w:val="20"/>
        </w:rPr>
        <w:t xml:space="preserve">Should Buyer desire to change the quantity to be scheduled, Buyer shall provide to Seller notice in accordance with </w:t>
      </w:r>
      <w:r>
        <w:rPr>
          <w:rFonts w:cs="Arial" w:ascii="Arial Narrow" w:hAnsi="Arial Narrow"/>
          <w:sz w:val="20"/>
          <w:u w:val="single"/>
        </w:rPr>
        <w:t>Section 2</w:t>
      </w:r>
      <w:r>
        <w:rPr>
          <w:rFonts w:cs="Arial" w:ascii="Arial Narrow" w:hAnsi="Arial Narrow"/>
          <w:sz w:val="20"/>
        </w:rPr>
        <w:t>.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shall require or permit either party to schedule gas at a point other than a Delivery Point or in excess of the Daily Contract Quantity.  If either party receives an order from a transporter requiring action in connection with a transaction (the "</w:t>
      </w:r>
      <w:r>
        <w:rPr>
          <w:rFonts w:cs="Arial" w:ascii="Arial Narrow" w:hAnsi="Arial Narrow"/>
          <w:sz w:val="20"/>
          <w:u w:val="single"/>
        </w:rPr>
        <w:t>OFO</w:t>
      </w:r>
      <w:r>
        <w:rPr>
          <w:rFonts w:cs="Arial" w:ascii="Arial Narrow" w:hAnsi="Arial Narrow"/>
          <w:sz w:val="20"/>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rFonts w:ascii="Arial Narrow" w:hAnsi="Arial Narrow" w:cs="Arial"/>
          <w:sz w:val="20"/>
        </w:rPr>
      </w:pPr>
      <w:r>
        <w:rPr>
          <w:rFonts w:cs="Arial" w:ascii="Arial Narrow" w:hAnsi="Arial Narrow"/>
          <w:sz w:val="20"/>
        </w:rPr>
      </w:r>
    </w:p>
    <w:p>
      <w:pPr>
        <w:pStyle w:val="Normal"/>
        <w:tabs>
          <w:tab w:val="clear" w:pos="720"/>
          <w:tab w:val="left" w:pos="810" w:leader="none"/>
          <w:tab w:val="left" w:pos="1170" w:leader="none"/>
        </w:tabs>
        <w:jc w:val="both"/>
        <w:rPr>
          <w:rFonts w:ascii="Arial Narrow" w:hAnsi="Arial Narrow" w:cs="Arial"/>
          <w:sz w:val="20"/>
        </w:rPr>
      </w:pPr>
      <w:r>
        <w:rPr>
          <w:rFonts w:cs="Arial" w:ascii="Arial Narrow" w:hAnsi="Arial Narrow"/>
          <w:b/>
          <w:bCs/>
          <w:sz w:val="20"/>
          <w:szCs w:val="20"/>
          <w:u w:val="single"/>
        </w:rPr>
        <w:t>9. Relationship Between Parties</w:t>
      </w:r>
      <w:r>
        <w:rPr>
          <w:rFonts w:cs="Arial" w:ascii="Arial Narrow" w:hAnsi="Arial Narrow"/>
          <w:sz w:val="20"/>
          <w:szCs w:val="20"/>
        </w:rPr>
        <w:t xml:space="preserve">.  Each party will be deemed to represent the following to the other party on each date on which it enters into a Transaction.  It is acting for its own account, and it has made its own independent decisions to enter into that Transaction and as to whether that Transaction is appropriate or proper for it based upon its own judgment and upon advice from such advisors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  It is capable of assessing the merits of and understanding (on its own behalf or through independent professional advice), and understands and accepts the terms, conditions and risks of that Transaction.  It is also capable of assuming, and assumes, the risks of that Transaction.  The other party is not acting as a fiduciary for or an adviser to it in respect of that Transaction. </w:t>
      </w:r>
    </w:p>
    <w:p>
      <w:pPr>
        <w:pStyle w:val="Normal"/>
        <w:jc w:val="both"/>
        <w:rPr>
          <w:rFonts w:ascii="Arial Narrow" w:hAnsi="Arial Narrow" w:cs="Arial"/>
          <w:sz w:val="20"/>
          <w:szCs w:val="20"/>
        </w:rPr>
      </w:pPr>
      <w:r>
        <w:rPr>
          <w:rFonts w:cs="Arial" w:ascii="Arial Narrow" w:hAnsi="Arial Narrow"/>
          <w:sz w:val="20"/>
          <w:szCs w:val="20"/>
        </w:rPr>
      </w:r>
    </w:p>
    <w:p>
      <w:pPr>
        <w:pStyle w:val="Normal"/>
        <w:tabs>
          <w:tab w:val="clear" w:pos="720"/>
          <w:tab w:val="left" w:pos="810" w:leader="none"/>
          <w:tab w:val="left" w:pos="1170" w:leader="none"/>
        </w:tabs>
        <w:jc w:val="both"/>
        <w:rPr/>
      </w:pPr>
      <w:r>
        <w:rPr>
          <w:rFonts w:cs="Arial" w:ascii="Arial Narrow" w:hAnsi="Arial Narrow"/>
          <w:b/>
          <w:bCs/>
          <w:sz w:val="20"/>
          <w:szCs w:val="20"/>
          <w:u w:val="single"/>
        </w:rPr>
        <w:t>10. Confidentiality</w:t>
      </w:r>
      <w:r>
        <w:rPr>
          <w:rFonts w:cs="Arial" w:ascii="Arial Narrow" w:hAnsi="Arial Narrow"/>
          <w:sz w:val="20"/>
          <w:szCs w:val="20"/>
        </w:rPr>
        <w:t xml:space="preserve">.  </w:t>
      </w:r>
      <w:r>
        <w:rPr>
          <w:rFonts w:cs="Arial" w:ascii="Arial Narrow" w:hAnsi="Arial Narrow"/>
          <w:sz w:val="20"/>
        </w:rPr>
        <w:t>The contents of the Transactions and all other documents relating to this GTC, if any, and any information made available by a party or any guarantor of a party to the other party with respect to this GTC or any Transaction, if any, are confidential and shall not be disclosed to any third party, except for such information (i) as may become generally available to the public, (ii) as may be required or appropriate in response to any summons, subpoena, request from a regulatory body, or otherwise in connection with any litigation or to comply with any applicable law, order, regulation, ruling, regulatory request or accounting disclosure rule or standard, (iii) as may be obtained from a non-confidential source that disclosed such information in a manner that did not violate its obligations to the non-disclosing party, if any, in making such disclosure, (iv) as may be furnished to the disclosing party's Affiliates, and to each of such person's auditors, attorneys, advisors or lenders which are required to keep the information that is disclosed in confidence, or (v) as may be aggregated with other information pertaining to purchases and sales of gas without reference to any counterparty and furnished to gas industry price source publications generally recognized in the commodities markets.</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b/>
          <w:bCs/>
          <w:sz w:val="20"/>
          <w:szCs w:val="20"/>
          <w:u w:val="single"/>
        </w:rPr>
        <w:t>11. Damages</w:t>
      </w:r>
      <w:r>
        <w:rPr>
          <w:rFonts w:cs="Arial" w:ascii="Arial Narrow" w:hAnsi="Arial Narrow"/>
          <w:sz w:val="20"/>
          <w:szCs w:val="20"/>
        </w:rPr>
        <w:t xml:space="preserve">.  </w:t>
      </w:r>
      <w:r>
        <w:rPr>
          <w:rFonts w:cs="Arial" w:ascii="Arial Narrow" w:hAnsi="Arial Narrow"/>
          <w:b/>
          <w:bCs/>
          <w:sz w:val="20"/>
          <w:szCs w:val="20"/>
        </w:rPr>
        <w:t xml:space="preserve">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GTC, in no event shall either party be liable for any penalties or charges assessed by any transporter for the unauthorized receipt of gas by the other party.  Buyer acknowledges that it has entered into this GTC and is contracting for the goods to be supplied by Seller based solely upon the express representations and warranties herein and, subject thereto, accepts such goods "as-is" and "with all faults." </w:t>
      </w:r>
    </w:p>
    <w:p>
      <w:pPr>
        <w:pStyle w:val="Normal"/>
        <w:jc w:val="both"/>
        <w:rPr>
          <w:rFonts w:ascii="Arial Narrow" w:hAnsi="Arial Narrow" w:cs="Arial"/>
          <w:b/>
          <w:bCs/>
          <w:sz w:val="20"/>
          <w:szCs w:val="20"/>
        </w:rPr>
      </w:pPr>
      <w:r>
        <w:rPr>
          <w:rFonts w:cs="Arial" w:ascii="Arial Narrow" w:hAnsi="Arial Narrow"/>
          <w:b/>
          <w:bCs/>
          <w:sz w:val="20"/>
          <w:szCs w:val="20"/>
        </w:rPr>
      </w:r>
    </w:p>
    <w:p>
      <w:pPr>
        <w:pStyle w:val="Normal"/>
        <w:jc w:val="both"/>
        <w:rPr>
          <w:rFonts w:ascii="Arial Narrow" w:hAnsi="Arial Narrow" w:cs="Arial"/>
          <w:color w:val="000000"/>
          <w:sz w:val="20"/>
          <w:szCs w:val="20"/>
        </w:rPr>
      </w:pPr>
      <w:r>
        <w:rPr>
          <w:rFonts w:cs="Arial" w:ascii="Arial Narrow" w:hAnsi="Arial Narrow"/>
          <w:b/>
          <w:bCs/>
          <w:sz w:val="20"/>
          <w:szCs w:val="20"/>
          <w:u w:val="single"/>
        </w:rPr>
        <w:t>12. Securities Representation/Canadian Delivery Point(s)</w:t>
      </w:r>
      <w:r>
        <w:rPr>
          <w:rFonts w:cs="Arial" w:ascii="Arial Narrow" w:hAnsi="Arial Narrow"/>
          <w:sz w:val="20"/>
          <w:szCs w:val="20"/>
        </w:rPr>
        <w:t>.</w:t>
      </w:r>
      <w:r>
        <w:rPr>
          <w:rFonts w:cs="Arial" w:ascii="Arial Narrow" w:hAnsi="Arial Narrow"/>
          <w:b/>
          <w:bCs/>
          <w:sz w:val="20"/>
          <w:szCs w:val="20"/>
        </w:rPr>
        <w:t xml:space="preserve">  </w:t>
      </w:r>
      <w:r>
        <w:rPr>
          <w:rFonts w:cs="Arial" w:ascii="Arial Narrow" w:hAnsi="Arial Narrow"/>
          <w:sz w:val="20"/>
          <w:szCs w:val="20"/>
        </w:rPr>
        <w:t>In respect of those Transactions in which the Delivery Point is located in Canada e</w:t>
      </w:r>
      <w:r>
        <w:rPr>
          <w:rFonts w:cs="Arial" w:ascii="Arial Narrow" w:hAnsi="Arial Narrow"/>
          <w:color w:val="000000"/>
          <w:sz w:val="20"/>
          <w:szCs w:val="20"/>
        </w:rPr>
        <w:t xml:space="preserve">ach party represents to the other party that </w:t>
      </w:r>
      <w:r>
        <w:rPr>
          <w:rFonts w:cs="Arial" w:ascii="Arial Narrow" w:hAnsi="Arial Narrow"/>
          <w:sz w:val="20"/>
        </w:rPr>
        <w:t xml:space="preserve">(i) the Transaction shall constitute an "OTC Derivative" as defined in the </w:t>
      </w:r>
      <w:r>
        <w:rPr>
          <w:rFonts w:cs="Arial" w:ascii="Arial Narrow" w:hAnsi="Arial Narrow"/>
          <w:i/>
          <w:sz w:val="20"/>
        </w:rPr>
        <w:t>Securities Act</w:t>
      </w:r>
      <w:r>
        <w:rPr>
          <w:rFonts w:cs="Arial" w:ascii="Arial Narrow" w:hAnsi="Arial Narrow"/>
          <w:sz w:val="20"/>
        </w:rPr>
        <w:t xml:space="preserve"> (Alberta) and the </w:t>
      </w:r>
      <w:r>
        <w:rPr>
          <w:rFonts w:cs="Arial" w:ascii="Arial Narrow" w:hAnsi="Arial Narrow"/>
          <w:i/>
          <w:sz w:val="20"/>
        </w:rPr>
        <w:t>Securities Act</w:t>
      </w:r>
      <w:r>
        <w:rPr>
          <w:rFonts w:cs="Arial" w:ascii="Arial Narrow" w:hAnsi="Arial Narrow"/>
          <w:sz w:val="20"/>
        </w:rPr>
        <w:t xml:space="preserve"> (British Columbia) which have application to such Transaction, and (ii) it is a "Qualified Party" within the meaning of paragraph 9.1 of the Alberta Securities Commission Order Doc. #394043 and/or Paragraph 1.1 of the British Columbia Securities Commission Blanket Order BOR#91-501(BC), each as in effect of the date hereof.</w:t>
      </w:r>
    </w:p>
    <w:p>
      <w:pPr>
        <w:pStyle w:val="Normal"/>
        <w:jc w:val="both"/>
        <w:rPr>
          <w:rFonts w:ascii="Arial Narrow" w:hAnsi="Arial Narrow" w:cs="Arial"/>
          <w:color w:val="000000"/>
          <w:sz w:val="20"/>
          <w:szCs w:val="20"/>
        </w:rPr>
      </w:pPr>
      <w:r>
        <w:rPr>
          <w:rFonts w:cs="Arial" w:ascii="Arial Narrow" w:hAnsi="Arial Narrow"/>
          <w:color w:val="000000"/>
          <w:sz w:val="20"/>
          <w:szCs w:val="20"/>
        </w:rPr>
      </w:r>
    </w:p>
    <w:p>
      <w:pPr>
        <w:pStyle w:val="Normal"/>
        <w:jc w:val="both"/>
        <w:rPr/>
      </w:pPr>
      <w:r>
        <w:rPr>
          <w:rFonts w:cs="Arial" w:ascii="Arial Narrow" w:hAnsi="Arial Narrow"/>
          <w:b/>
          <w:bCs/>
          <w:color w:val="000000"/>
          <w:sz w:val="20"/>
          <w:szCs w:val="20"/>
          <w:u w:val="single"/>
        </w:rPr>
        <w:t>13. Governing Law</w:t>
      </w:r>
      <w:r>
        <w:rPr>
          <w:rFonts w:cs="Arial" w:ascii="Arial Narrow" w:hAnsi="Arial Narrow"/>
          <w:color w:val="000000"/>
          <w:sz w:val="20"/>
          <w:szCs w:val="20"/>
        </w:rPr>
        <w:t xml:space="preserve">.  </w:t>
      </w:r>
      <w:r>
        <w:rPr>
          <w:rFonts w:cs="Arial" w:ascii="Arial Narrow" w:hAnsi="Arial Narrow"/>
          <w:sz w:val="20"/>
          <w:szCs w:val="20"/>
        </w:rPr>
        <w:t>This GTC and all Transactions and Confirmations and the rights and duties of the parties arising therefrom shall be governed by, interpreted and construed in accordance with the laws of the State of New York (without reference to choice of law doctrine).  With respect to any suit, action or proceedings relating to this GTC, any Confirmation or any Transaction hereunder ("</w:t>
      </w:r>
      <w:r>
        <w:rPr>
          <w:rFonts w:cs="Arial" w:ascii="Arial Narrow" w:hAnsi="Arial Narrow"/>
          <w:sz w:val="20"/>
          <w:szCs w:val="20"/>
          <w:u w:val="single"/>
        </w:rPr>
        <w:t>Proceedings</w:t>
      </w:r>
      <w:r>
        <w:rPr>
          <w:rFonts w:cs="Arial" w:ascii="Arial Narrow" w:hAnsi="Arial Narrow"/>
          <w:sz w:val="20"/>
          <w:szCs w:val="20"/>
        </w:rPr>
        <w:t xml:space="preserve">") each party irrevocably submits to the non-exclusive jurisdiction of the federal and state courts located in the County of New York, State of New York, waives any objection which it may have to the laying of venue of any Proceedings brought in any such court, and waives any claim that any such Proceedings have been brought in an inconvenient forum.  </w:t>
      </w:r>
      <w:r>
        <w:rPr>
          <w:rFonts w:cs="Arial" w:ascii="Arial Narrow" w:hAnsi="Arial Narrow"/>
          <w:b/>
          <w:bCs/>
          <w:sz w:val="20"/>
          <w:szCs w:val="20"/>
        </w:rPr>
        <w:t>EACH PARTY HEREBY IRREVOCABLY WAIVES AND ALL RIGHT TO TRIAL BY JURY IN ANY SUIT, ACTION OR PROCEEDING ARISING OUT OF OR RELATING TO THIS GTC OR ANY TRANSACTION AND ACKNOWLEDGES THAT THIS WAIVER IS A MATERIAL INDUCEMENT TO THE OTHER PARTY'S ENTERING INTO THIS GTC.</w:t>
      </w:r>
    </w:p>
    <w:p>
      <w:pPr>
        <w:pStyle w:val="Normal"/>
        <w:jc w:val="both"/>
        <w:rPr>
          <w:rFonts w:ascii="Arial Narrow" w:hAnsi="Arial Narrow" w:cs="Arial"/>
          <w:b/>
          <w:bCs/>
          <w:color w:val="000000"/>
          <w:sz w:val="20"/>
          <w:szCs w:val="20"/>
        </w:rPr>
      </w:pPr>
      <w:r>
        <w:rPr>
          <w:rFonts w:cs="Arial" w:ascii="Arial Narrow" w:hAnsi="Arial Narrow"/>
          <w:b/>
          <w:bCs/>
          <w:color w:val="000000"/>
          <w:sz w:val="20"/>
          <w:szCs w:val="20"/>
        </w:rPr>
      </w:r>
    </w:p>
    <w:p>
      <w:pPr>
        <w:pStyle w:val="Normal"/>
        <w:tabs>
          <w:tab w:val="clear" w:pos="720"/>
          <w:tab w:val="left" w:pos="360" w:leader="none"/>
        </w:tabs>
        <w:jc w:val="both"/>
        <w:rPr/>
      </w:pPr>
      <w:r>
        <w:rPr>
          <w:rFonts w:cs="Arial" w:ascii="Arial Narrow" w:hAnsi="Arial Narrow"/>
          <w:b/>
          <w:bCs/>
          <w:color w:val="000000"/>
          <w:sz w:val="20"/>
          <w:szCs w:val="20"/>
          <w:u w:val="single"/>
        </w:rPr>
        <w:t>14. Representations and Other Matters</w:t>
      </w:r>
      <w:r>
        <w:rPr>
          <w:rFonts w:cs="Arial" w:ascii="Arial Narrow" w:hAnsi="Arial Narrow"/>
          <w:color w:val="000000"/>
          <w:sz w:val="20"/>
          <w:szCs w:val="20"/>
        </w:rPr>
        <w:t xml:space="preserve">.  </w:t>
      </w:r>
      <w:r>
        <w:rPr>
          <w:rFonts w:cs="Arial" w:ascii="Arial Narrow" w:hAnsi="Arial Narrow"/>
          <w:sz w:val="20"/>
        </w:rPr>
        <w:t xml:space="preserve">Each of the parties hereby represents and warrants (which representations and warranties will be deemed to be repeated by each party on each date on which a Transaction is entered into) that it is entering into this GTC and each Transaction as principal (and not as agent or in any other capacity, fiduciary or otherwise); it has all regulatory authorizations necessary for it to legally perform its obligations under this GTC and each Transaction, including, without limitation, the provision of credit support pursuant to </w:t>
      </w:r>
      <w:r>
        <w:rPr>
          <w:rFonts w:cs="Arial" w:ascii="Arial Narrow" w:hAnsi="Arial Narrow"/>
          <w:sz w:val="20"/>
          <w:u w:val="single"/>
        </w:rPr>
        <w:t>Section 15</w:t>
      </w:r>
      <w:r>
        <w:rPr>
          <w:rFonts w:cs="Arial" w:ascii="Arial Narrow" w:hAnsi="Arial Narrow"/>
          <w:sz w:val="20"/>
        </w:rPr>
        <w:t xml:space="preserve">; the execution, delivery and performance of this GTC and each Transaction, including, without limitation, the provision of credit support pursuant to </w:t>
      </w:r>
      <w:r>
        <w:rPr>
          <w:rFonts w:cs="Arial" w:ascii="Arial Narrow" w:hAnsi="Arial Narrow"/>
          <w:sz w:val="20"/>
          <w:u w:val="single"/>
        </w:rPr>
        <w:t>Section 15</w:t>
      </w:r>
      <w:r>
        <w:rPr>
          <w:rFonts w:cs="Arial" w:ascii="Arial Narrow" w:hAnsi="Arial Narrow"/>
          <w:sz w:val="20"/>
        </w:rPr>
        <w:t xml:space="preserve">, are within its powers, have been duly authorized by all necessary action, and do not violate any of the terms and conditions in its governing documents, any contracts to which it is a party or any law or regulation applicable to it; this GTC and each Transaction when entered into in accordance with this GTC constitutes its legally valid and binding obligation enforceable against it in accordance with its terms, subject to any equitable defenses; with respect to each Transaction, it has the ability to make or take delivery of the gas and has entered into such Transaction with the intention to do so; it is a "forward contract merchant" and each Transaction hereunder shall constitute a "forward contract" (other than Transactions hereunder with a maturity of two days or less), in each case within the meaning of the Code; and there is not pending or, to its knowledge, threatened against it or any guarantor any action, suit or proceeding at law or in equity or before any court, tribunal, governmental body, agency or official or any arbitrator that is likely to affect the legality, validity or enforceability of this GTC, any Transaction, or any guaranty or other credit support arrangement provided pursuant to </w:t>
      </w:r>
      <w:r>
        <w:rPr>
          <w:rFonts w:cs="Arial" w:ascii="Arial Narrow" w:hAnsi="Arial Narrow"/>
          <w:sz w:val="20"/>
          <w:u w:val="single"/>
        </w:rPr>
        <w:t>Section 15</w:t>
      </w:r>
      <w:r>
        <w:rPr>
          <w:rFonts w:cs="Arial" w:ascii="Arial Narrow" w:hAnsi="Arial Narrow"/>
          <w:sz w:val="20"/>
        </w:rPr>
        <w:t xml:space="preserve"> or the ability to perform the obligations thereunder.  </w:t>
      </w:r>
    </w:p>
    <w:p>
      <w:pPr>
        <w:pStyle w:val="Normal"/>
        <w:tabs>
          <w:tab w:val="clear" w:pos="720"/>
          <w:tab w:val="left" w:pos="360" w:leader="none"/>
        </w:tabs>
        <w:jc w:val="both"/>
        <w:rPr>
          <w:rFonts w:ascii="Arial Narrow" w:hAnsi="Arial Narrow" w:cs="Arial"/>
          <w:sz w:val="20"/>
        </w:rPr>
      </w:pPr>
      <w:r>
        <w:rPr>
          <w:rFonts w:cs="Arial" w:ascii="Arial Narrow" w:hAnsi="Arial Narrow"/>
          <w:sz w:val="20"/>
        </w:rPr>
      </w:r>
    </w:p>
    <w:p>
      <w:pPr>
        <w:pStyle w:val="Normal"/>
        <w:tabs>
          <w:tab w:val="clear" w:pos="720"/>
          <w:tab w:val="left" w:pos="360" w:leader="none"/>
        </w:tabs>
        <w:jc w:val="both"/>
        <w:rPr/>
      </w:pPr>
      <w:r>
        <w:rPr>
          <w:rFonts w:cs="Arial" w:ascii="Arial Narrow" w:hAnsi="Arial Narrow"/>
          <w:sz w:val="20"/>
        </w:rPr>
        <w:t xml:space="preserve">This GTC and each Transaction shall be binding upon and inure to the benefit of the parties and their respective successors and permitted assigns.  Neither party shall have the power to assign or otherwise transfer all or any of its rights or obligations under this GTC or any Transaction without the prior written consent of the other party, which consent shall not be unreasonably withheld or delayed; provided, assignments are hereby permitted by a party to an Affiliate, who is in the same tax jurisdiction as such party and whose creditworthiness is not materially weaker than that of such party, if (i) the assignment is made with prior notice to the non-assigning party, (ii) the Affiliate assignee agrees in writing to be bound by the terms and conditions thereof, (iii) such assignment shall not relieve the assigning party of any of its obligations thereunder, and (iv) any guaranty or other credit support arrangement provided pursuant to </w:t>
      </w:r>
      <w:r>
        <w:rPr>
          <w:rFonts w:cs="Arial" w:ascii="Arial Narrow" w:hAnsi="Arial Narrow"/>
          <w:sz w:val="20"/>
          <w:u w:val="single"/>
        </w:rPr>
        <w:t>Section 15</w:t>
      </w:r>
      <w:r>
        <w:rPr>
          <w:rFonts w:cs="Arial" w:ascii="Arial Narrow" w:hAnsi="Arial Narrow"/>
          <w:sz w:val="20"/>
        </w:rPr>
        <w:t xml:space="preserve"> continues to extend to the performance of the Affiliate assignee.  Any purported assignment in violation of this provision shall be void and of no force and effect.  </w:t>
      </w:r>
    </w:p>
    <w:p>
      <w:pPr>
        <w:pStyle w:val="Normal"/>
        <w:tabs>
          <w:tab w:val="clear" w:pos="720"/>
          <w:tab w:val="left" w:pos="360" w:leader="none"/>
        </w:tabs>
        <w:jc w:val="both"/>
        <w:rPr>
          <w:rFonts w:ascii="Arial Narrow" w:hAnsi="Arial Narrow" w:cs="Arial"/>
          <w:sz w:val="20"/>
        </w:rPr>
      </w:pPr>
      <w:r>
        <w:rPr>
          <w:rFonts w:cs="Arial" w:ascii="Arial Narrow" w:hAnsi="Arial Narrow"/>
          <w:sz w:val="20"/>
        </w:rPr>
      </w:r>
    </w:p>
    <w:p>
      <w:pPr>
        <w:pStyle w:val="Normal"/>
        <w:tabs>
          <w:tab w:val="clear" w:pos="720"/>
          <w:tab w:val="left" w:pos="360" w:leader="none"/>
        </w:tabs>
        <w:jc w:val="both"/>
        <w:rPr/>
      </w:pPr>
      <w:r>
        <w:rPr>
          <w:rFonts w:cs="Arial" w:ascii="Arial Narrow" w:hAnsi="Arial Narrow"/>
          <w:sz w:val="20"/>
        </w:rPr>
        <w:t xml:space="preserve">This GTC and each Transaction and any Confirmation thereof contain the entire agreement between the parties and supersede all prior oral or written communications or agreements relating to the subject matter.  </w:t>
      </w:r>
      <w:r>
        <w:rPr>
          <w:rFonts w:cs="Arial Narrow" w:ascii="Arial Narrow" w:hAnsi="Arial Narrow"/>
          <w:sz w:val="20"/>
        </w:rPr>
        <w:t xml:space="preserve">All notices in connection with a Transaction may be given during any Business Day by hand delivery (effective upon attempted delivery), overnight mail service (effective upon receipt on any Business Day), or telefacsimile (effective upon receipt of evidence, including telefacsimile evidence, that telefacsimile was received), at the address as specified in such Transaction or as may be subsequently designated by effective notice.  </w:t>
      </w:r>
    </w:p>
    <w:p>
      <w:pPr>
        <w:pStyle w:val="Normal"/>
        <w:tabs>
          <w:tab w:val="clear" w:pos="720"/>
          <w:tab w:val="left" w:pos="36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360" w:leader="none"/>
        </w:tabs>
        <w:jc w:val="both"/>
        <w:rPr/>
      </w:pPr>
      <w:r>
        <w:rPr>
          <w:rFonts w:cs="Arial" w:ascii="Arial Narrow" w:hAnsi="Arial Narrow"/>
          <w:sz w:val="20"/>
        </w:rPr>
        <w:t>Any provision declared or rendered unlawful by any applicable court of law or regulatory agency or deemed unlawful because of a statutory change (individually or collectively, such events referred to as "</w:t>
      </w:r>
      <w:r>
        <w:rPr>
          <w:rFonts w:cs="Arial" w:ascii="Arial Narrow" w:hAnsi="Arial Narrow"/>
          <w:sz w:val="20"/>
          <w:u w:val="single"/>
        </w:rPr>
        <w:t>Regulatory Event</w:t>
      </w:r>
      <w:r>
        <w:rPr>
          <w:rFonts w:cs="Arial" w:ascii="Arial Narrow" w:hAnsi="Arial Narrow"/>
          <w:sz w:val="20"/>
        </w:rPr>
        <w:t xml:space="preserve">") will not otherwise affect the remaining lawful obligations that arise under a Transaction or this GTC; provided, if a Regulatory Event occurs, the parties shall use commercially reasonable efforts to reform such Transaction or this GTC in order to give effect to the original intention of such parties.  </w:t>
      </w:r>
    </w:p>
    <w:p>
      <w:pPr>
        <w:pStyle w:val="Normal"/>
        <w:tabs>
          <w:tab w:val="clear" w:pos="720"/>
          <w:tab w:val="left" w:pos="360" w:leader="none"/>
        </w:tabs>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b/>
          <w:bCs/>
          <w:sz w:val="20"/>
          <w:u w:val="single"/>
        </w:rPr>
        <w:t>15.  Credit Support Arrangements</w:t>
      </w:r>
      <w:r>
        <w:rPr>
          <w:rFonts w:cs="Arial" w:ascii="Arial Narrow" w:hAnsi="Arial Narrow"/>
          <w:sz w:val="20"/>
        </w:rPr>
        <w:t>.  At the request of UBS, counterparty shall provide any of the following credit support arrangements within three Business Days of such request:  (i) a letter of credit in respect of counterparty's obligations under any Transaction in a form, for an amount and from an issuer with a credit rating for its unsecured, senior long-term debt or deposit obligations (not supported by third party credit enhancement) by Standard &amp; Poor's Rating Group and Moody's Investors Service, Inc. of at least "A-" or "A3," respectively (the "</w:t>
      </w:r>
      <w:r>
        <w:rPr>
          <w:rFonts w:cs="Arial" w:ascii="Arial Narrow" w:hAnsi="Arial Narrow"/>
          <w:sz w:val="20"/>
          <w:u w:val="single"/>
        </w:rPr>
        <w:t>Rating Level</w:t>
      </w:r>
      <w:r>
        <w:rPr>
          <w:rFonts w:cs="Arial" w:ascii="Arial Narrow" w:hAnsi="Arial Narrow"/>
          <w:sz w:val="20"/>
        </w:rPr>
        <w:t>"), in each case, as is acceptable to UBS in its commercially reasonable discretion (a "</w:t>
      </w:r>
      <w:r>
        <w:rPr>
          <w:rFonts w:cs="Arial" w:ascii="Arial Narrow" w:hAnsi="Arial Narrow"/>
          <w:sz w:val="20"/>
          <w:u w:val="single"/>
        </w:rPr>
        <w:t>Letter of Credit</w:t>
      </w:r>
      <w:r>
        <w:rPr>
          <w:rFonts w:cs="Arial" w:ascii="Arial Narrow" w:hAnsi="Arial Narrow"/>
          <w:sz w:val="20"/>
        </w:rPr>
        <w:t>"), (ii) a guaranty covering counterparty's obligations under any Transaction in a form, for an amount and from a person or entity, in each case, as is acceptable to UBS in its commercially reasonable discretion, or (iii) lawful currency of the United States of America in respect of counterparty's obligations under any Transaction in an amount acceptable to UBS in its commercially reasonable discretion.  Each Letter of Credit issued pursuant hereto shall be replaced on or before 20 Business Days prior to the expiration thereof.  To secure its obligations under this GTC counterparty hereby grants to UBS a first-priority, present and continuing security interest in, lien on, right of setoff against, and assignment of, all currency or other collateral delivered pursuant to the terms of this GTC or any Transaction and any and all proceeds resulting therefrom or the liquidation thereof, whether now or hereafter held by, on behalf of, or for the benefit of, UBS (the "</w:t>
      </w:r>
      <w:r>
        <w:rPr>
          <w:rFonts w:cs="Arial" w:ascii="Arial Narrow" w:hAnsi="Arial Narrow"/>
          <w:sz w:val="20"/>
          <w:u w:val="single"/>
        </w:rPr>
        <w:t>Lien</w:t>
      </w:r>
      <w:r>
        <w:rPr>
          <w:rFonts w:cs="Arial" w:ascii="Arial Narrow" w:hAnsi="Arial Narrow"/>
          <w:sz w:val="20"/>
        </w:rPr>
        <w:t xml:space="preserve">"), and counterparty agrees to take such action as UBS reasonably requires in order to perfect a first-priority Lien favor of UBS.  Upon an Event of Default wherein UBS is the non-defaulting party, UBS shall have the right to do any one or more of the following, none of which shall be an exclusive remedy:  (i) exercise any and all of the rights and remedies of a secured party with respect all collateral and security secured by the Lien and under applicable law; (ii) exercise any and all rights of setoff hereunder and under applicable law; (iii) draw upon any outstanding Letter of Credit issued for the benefit of UBS; and (iv) liquidate all collateral and security secured by the Lien then held by of for the benefit of UBS free from any claim or right of any nature whatsoever of counterparty, including any equity or right of purchase or redemption by counterparty.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b/>
          <w:bCs/>
          <w:sz w:val="20"/>
          <w:u w:val="single"/>
        </w:rPr>
        <w:t>16.  Certain Definitions</w:t>
      </w:r>
      <w:r>
        <w:rPr>
          <w:rFonts w:cs="Arial" w:ascii="Arial Narrow" w:hAnsi="Arial Narrow"/>
          <w:sz w:val="20"/>
        </w:rPr>
        <w:t>.  Certain capitalized terms used in this GTC shall have the following meanings:</w:t>
      </w:r>
    </w:p>
    <w:p>
      <w:pPr>
        <w:pStyle w:val="Normal"/>
        <w:jc w:val="both"/>
        <w:rPr/>
      </w:pPr>
      <w:r>
        <w:rPr>
          <w:rFonts w:cs="Arial" w:ascii="Arial Narrow" w:hAnsi="Arial Narrow"/>
          <w:sz w:val="20"/>
        </w:rPr>
        <w:t>"</w:t>
      </w:r>
      <w:r>
        <w:rPr>
          <w:rFonts w:cs="Arial" w:ascii="Arial Narrow" w:hAnsi="Arial Narrow"/>
          <w:sz w:val="20"/>
          <w:u w:val="single"/>
        </w:rPr>
        <w:t>Affiliate</w:t>
      </w:r>
      <w:r>
        <w:rPr>
          <w:rFonts w:cs="Arial" w:ascii="Arial Narrow" w:hAnsi="Arial Narrow"/>
          <w:sz w:val="20"/>
        </w:rPr>
        <w:t>"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Bankruptcy Event</w:t>
      </w:r>
      <w:r>
        <w:rPr>
          <w:rFonts w:cs="Arial" w:ascii="Arial Narrow" w:hAnsi="Arial Narrow"/>
          <w:sz w:val="20"/>
        </w:rPr>
        <w:t>" means, with respect to a party or other entity, that such party or other entity (i) is dissolved (other than pursuant to a consolidation, amalgamation or merger); (ii) becomes insolvent or is unable to pay its debts or fails or admits in writing its inability generally to pay its debts as they become due; (iii) makes a general assignment, arrangement or composition with or for the benefit of its creditors; (iv)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(a) results in a judgment of insolvency or bankruptcy or the entry of an order for relief or the making of an order for its winding-up or liquidation or (b) is not dismissed, discharged, stayed or restrained, in each case within 30 days of the institution or presentation thereof; (v) has a resolution passed for its winding-up, official management or liquidation (other than pursuant to a consolidation, amalgamation or merger); (vi) seeks or becomes subject to the appointment of an administrator, provisional liquidator, conservator, receiver, trustee, custodian or other similar official for it or for all or substantially all its assets; (vii)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(viii) causes or is subject to any event with respect to it which, under the applicable laws of any jurisdiction, has an analogous effect to any of the events specified in clauses (i) to (vii) (inclusive); or (ix) takes any action in furtherance of, or indicating its consent to, approval of, or acquiescence in, any of the foregoing acts.</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iCs/>
          <w:sz w:val="20"/>
          <w:u w:val="single"/>
        </w:rPr>
        <w:t>Business Day</w:t>
      </w:r>
      <w:r>
        <w:rPr>
          <w:rFonts w:cs="Arial" w:ascii="Arial Narrow" w:hAnsi="Arial Narrow"/>
          <w:sz w:val="20"/>
        </w:rPr>
        <w:t>" means a day on which Federal Reserve member banks in New York City are open for business and a Business Day shall open at 8:00 a.m. and close at 5:00 p.m. local time at each party's principal place of business.</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Code</w:t>
      </w:r>
      <w:r>
        <w:rPr>
          <w:rFonts w:cs="Arial" w:ascii="Arial Narrow" w:hAnsi="Arial Narrow"/>
          <w:sz w:val="20"/>
        </w:rPr>
        <w:t>" means the United States Bankruptcy Code, 11 U.S.C. Secs. 101-1330, as may be amended from time to time.</w:t>
      </w:r>
    </w:p>
    <w:p>
      <w:pPr>
        <w:pStyle w:val="Normal"/>
        <w:jc w:val="both"/>
        <w:rPr>
          <w:rFonts w:ascii="Arial Narrow" w:hAnsi="Arial Narrow" w:cs="Arial"/>
          <w:sz w:val="20"/>
        </w:rPr>
      </w:pPr>
      <w:r>
        <w:rPr>
          <w:rFonts w:cs="Arial" w:ascii="Arial Narrow" w:hAnsi="Arial Narrow"/>
          <w:sz w:val="20"/>
        </w:rPr>
      </w:r>
    </w:p>
    <w:p>
      <w:pPr>
        <w:pStyle w:val="Normal"/>
        <w:jc w:val="both"/>
        <w:rPr>
          <w:rFonts w:ascii="Arial Narrow" w:hAnsi="Arial Narrow" w:cs="Arial"/>
          <w:sz w:val="20"/>
          <w:szCs w:val="20"/>
        </w:rPr>
      </w:pPr>
      <w:r>
        <w:rPr>
          <w:rFonts w:cs="Arial" w:ascii="Arial Narrow" w:hAnsi="Arial Narrow"/>
          <w:sz w:val="20"/>
        </w:rPr>
        <w:t>"</w:t>
      </w:r>
      <w:r>
        <w:rPr>
          <w:rFonts w:cs="Arial" w:ascii="Arial Narrow" w:hAnsi="Arial Narrow"/>
          <w:sz w:val="20"/>
          <w:u w:val="single"/>
        </w:rPr>
        <w:t>Event of Default</w:t>
      </w:r>
      <w:r>
        <w:rPr>
          <w:rFonts w:cs="Arial" w:ascii="Arial Narrow" w:hAnsi="Arial Narrow"/>
          <w:sz w:val="20"/>
        </w:rPr>
        <w:t>" means with respect to a party (the "</w:t>
      </w:r>
      <w:r>
        <w:rPr>
          <w:rFonts w:cs="Arial" w:ascii="Arial Narrow" w:hAnsi="Arial Narrow"/>
          <w:sz w:val="20"/>
          <w:u w:val="single"/>
        </w:rPr>
        <w:t>Defaulting Party</w:t>
      </w:r>
      <w:r>
        <w:rPr>
          <w:rFonts w:cs="Arial" w:ascii="Arial Narrow" w:hAnsi="Arial Narrow"/>
          <w:sz w:val="20"/>
        </w:rPr>
        <w:t xml:space="preserve">") any of the following:  (i) the failure by the Defaulting Party to make, when due, any payment required hereunder if such failure is not remedied within three Business Days after notice of such failure is given to the Defaulting Party; (ii) the failure by the Defaulting Party to provide credit support pursuant to </w:t>
      </w:r>
      <w:r>
        <w:rPr>
          <w:rFonts w:cs="Arial" w:ascii="Arial Narrow" w:hAnsi="Arial Narrow"/>
          <w:sz w:val="20"/>
          <w:u w:val="single"/>
        </w:rPr>
        <w:t>Section 15</w:t>
      </w:r>
      <w:r>
        <w:rPr>
          <w:rFonts w:cs="Arial" w:ascii="Arial Narrow" w:hAnsi="Arial Narrow"/>
          <w:sz w:val="20"/>
        </w:rPr>
        <w:t xml:space="preserve">, if such failure is not remedied within one Business Day after notice of such failure is given to the Defaulting Party; (iii) any representation or warranty made by the Defaulting Party herein shall prove to have been false or misleading in any material respect when made; (iv) the breach by the Defaulting Party of any material covenant set forth herein (other than any covenant otherwise listed as a specific Event of Default in this provision) if such failure is not remedied within 30 days after notice of such failure is given to the Defaulting Party; (v) the Defaulting Party disaffirms, disclaims, repudiates or rejects, in whole or in part, or challenges the validity of, any Transaction or this GTC; (vi) a Bankruptcy Event occurs with respect to the Defaulting Party; (vii) a Merger Event occurs with respect to the Defaulting Party; </w:t>
      </w:r>
      <w:r>
        <w:rPr>
          <w:rFonts w:cs="Arial" w:ascii="Arial Narrow" w:hAnsi="Arial Narrow"/>
          <w:sz w:val="20"/>
          <w:szCs w:val="20"/>
        </w:rPr>
        <w:t xml:space="preserve">(viii) </w:t>
      </w:r>
      <w:r>
        <w:rPr>
          <w:rFonts w:cs="Arial" w:ascii="Arial Narrow" w:hAnsi="Arial Narrow"/>
          <w:sz w:val="20"/>
        </w:rPr>
        <w:t xml:space="preserve">an event of default occurs (howsoever determined) with respect to the Defaulting Party under any </w:t>
      </w:r>
      <w:r>
        <w:rPr>
          <w:rFonts w:cs="Arial" w:ascii="Arial Narrow" w:hAnsi="Arial Narrow"/>
          <w:sz w:val="20"/>
          <w:szCs w:val="20"/>
        </w:rPr>
        <w:t xml:space="preserve">transaction or agreement between UBS and counterparty under any forward contract, swap agreement or commodity contract, in each case as defined in the Code, or any indebtedness for borrowed money, and there occurs a liquidation of, an acceleration of obligations under, or an early termination of, all transactions thereunder or the agreement; (ix) the guarantor of the Defaulting Party fails to perform any covenant set forth in any guaranty agreement provided pursuant to </w:t>
      </w:r>
      <w:r>
        <w:rPr>
          <w:rFonts w:cs="Arial" w:ascii="Arial Narrow" w:hAnsi="Arial Narrow"/>
          <w:sz w:val="20"/>
          <w:szCs w:val="20"/>
          <w:u w:val="single"/>
        </w:rPr>
        <w:t>Section 15</w:t>
      </w:r>
      <w:r>
        <w:rPr>
          <w:rFonts w:cs="Arial" w:ascii="Arial Narrow" w:hAnsi="Arial Narrow"/>
          <w:sz w:val="20"/>
          <w:szCs w:val="20"/>
        </w:rPr>
        <w:t>, any representation or warranty made by the guarantor in such guaranty agreement shall prove to have been false or misleading in any material respect when made, the guarantor</w:t>
      </w:r>
      <w:r>
        <w:rPr>
          <w:rFonts w:cs="Arial" w:ascii="Arial Narrow" w:hAnsi="Arial Narrow"/>
          <w:sz w:val="20"/>
          <w:szCs w:val="22"/>
        </w:rPr>
        <w:t xml:space="preserve"> disaffirms, disclaims, repudiates or rejects, in whole or in part, or challenges the validity of, any such guaranty agreement, </w:t>
      </w:r>
      <w:r>
        <w:rPr>
          <w:rFonts w:cs="Arial" w:ascii="Arial Narrow" w:hAnsi="Arial Narrow"/>
          <w:sz w:val="20"/>
          <w:szCs w:val="20"/>
        </w:rPr>
        <w:t xml:space="preserve">or the guarantor takes or suffers any actions set forth in items (vi) or (vii) above as applied to it; (x) </w:t>
      </w:r>
      <w:r>
        <w:rPr>
          <w:rFonts w:cs="Arial" w:ascii="Arial Narrow" w:hAnsi="Arial Narrow"/>
          <w:sz w:val="20"/>
          <w:szCs w:val="22"/>
        </w:rPr>
        <w:t xml:space="preserve">the issuer of a Letter of Credit (defined in </w:t>
      </w:r>
      <w:r>
        <w:rPr>
          <w:rFonts w:cs="Arial" w:ascii="Arial Narrow" w:hAnsi="Arial Narrow"/>
          <w:sz w:val="20"/>
          <w:szCs w:val="22"/>
          <w:u w:val="single"/>
        </w:rPr>
        <w:t>Section 15</w:t>
      </w:r>
      <w:r>
        <w:rPr>
          <w:rFonts w:cs="Arial" w:ascii="Arial Narrow" w:hAnsi="Arial Narrow"/>
          <w:sz w:val="20"/>
          <w:szCs w:val="22"/>
        </w:rPr>
        <w:t xml:space="preserve">) provided pursuant to </w:t>
      </w:r>
      <w:r>
        <w:rPr>
          <w:rFonts w:cs="Arial" w:ascii="Arial Narrow" w:hAnsi="Arial Narrow"/>
          <w:sz w:val="20"/>
          <w:szCs w:val="22"/>
          <w:u w:val="single"/>
        </w:rPr>
        <w:t>Section 15</w:t>
      </w:r>
      <w:r>
        <w:rPr>
          <w:rFonts w:cs="Arial" w:ascii="Arial Narrow" w:hAnsi="Arial Narrow"/>
          <w:sz w:val="20"/>
          <w:szCs w:val="22"/>
        </w:rPr>
        <w:t xml:space="preserve"> fails to comply with or perform its obligations under such Letter of Credit if such failure shall be continuing after the lapse of any applicable grace period, or disaffirms, disclaims, repudiates or rejects, in whole or in part, or challenges the validity of, such Letter of Credit, o</w:t>
      </w:r>
      <w:r>
        <w:rPr>
          <w:rFonts w:cs="Arial" w:ascii="Arial Narrow" w:hAnsi="Arial Narrow"/>
          <w:sz w:val="20"/>
          <w:szCs w:val="20"/>
        </w:rPr>
        <w:t>r takes or suffers any actions set forth in item (vi) above as applied to it,</w:t>
      </w:r>
      <w:r>
        <w:rPr>
          <w:rFonts w:cs="Arial" w:ascii="Arial Narrow" w:hAnsi="Arial Narrow"/>
          <w:sz w:val="20"/>
          <w:szCs w:val="22"/>
        </w:rPr>
        <w:t xml:space="preserve"> or such Letter of Credit expires or terminates or fails or ceases to be in full force and effect at any time during the term of the Transaction for which it is issued without having been replaced, or such issuer fails to maintain the Rating Level (defined in </w:t>
      </w:r>
      <w:r>
        <w:rPr>
          <w:rFonts w:cs="Arial" w:ascii="Arial Narrow" w:hAnsi="Arial Narrow"/>
          <w:sz w:val="20"/>
          <w:szCs w:val="22"/>
          <w:u w:val="single"/>
        </w:rPr>
        <w:t>Section 15</w:t>
      </w:r>
      <w:r>
        <w:rPr>
          <w:rFonts w:cs="Arial" w:ascii="Arial Narrow" w:hAnsi="Arial Narrow"/>
          <w:sz w:val="20"/>
          <w:szCs w:val="22"/>
        </w:rPr>
        <w:t>) without the Letter of Credit having been replaced by another issuer satisfactory to UBS; or (xi) an event of default occurs (howsoever determined) with respect to UBS, as Defaulting Party, or counterparty, or guarantor of counterparty, as Defaulting Party (individually or collectively), under any one or more agreements or instruments relating to indebtedness for borrowed money or the payment of money under any forward contract, swap agreement or commodity contract in an amount of not less than the Threshold Amount which has resulted in such amount becoming, or becoming capable at such time of being declared, due and payable under the applicable agreement or instrument, before it would otherwise have been due and payable, or a default (individually or collectively) in making one or more payments on the due date thereof in an aggregate amount of not less than the Threshold Amount under such agreements or instruments (after giving effect to any applicable notice requirement or grace period); provided, an Event of Default shall not occur under item (xi) if, as demonstrated to the reasonable satisfaction of the other party, the event of default or the failure to pay is the result of a failure to pay caused by an error or omission of an administrative or operational nature, funds were available to such party to enable it to make the relevant payment when due, and such relevant payment is made within three Business Days following receipt of written notice from an interested party.</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sz w:val="20"/>
        </w:rPr>
        <w:t>"</w:t>
      </w:r>
      <w:r>
        <w:rPr>
          <w:rFonts w:cs="Arial" w:ascii="Arial Narrow" w:hAnsi="Arial Narrow"/>
          <w:sz w:val="20"/>
          <w:u w:val="single"/>
        </w:rPr>
        <w:t>Interest Rate</w:t>
      </w:r>
      <w:r>
        <w:rPr>
          <w:rFonts w:cs="Arial" w:ascii="Arial Narrow" w:hAnsi="Arial Narrow"/>
          <w:sz w:val="20"/>
        </w:rPr>
        <w:t xml:space="preserve">" means a per annum rate of interest equal to the prime lending rate as may from time to time be published in </w:t>
      </w:r>
      <w:r>
        <w:rPr>
          <w:rFonts w:cs="Arial" w:ascii="Arial Narrow" w:hAnsi="Arial Narrow"/>
          <w:i/>
          <w:iCs/>
          <w:sz w:val="20"/>
        </w:rPr>
        <w:t>The Wall Street Journal</w:t>
      </w:r>
      <w:r>
        <w:rPr>
          <w:rFonts w:cs="Arial" w:ascii="Arial Narrow" w:hAnsi="Arial Narrow"/>
          <w:sz w:val="20"/>
        </w:rPr>
        <w:t xml:space="preserve"> under "Money Rates" plus two percent; provided, the Interest Rate may never exceed the maximum lawful rate under applicable law.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Losses</w:t>
      </w:r>
      <w:r>
        <w:rPr>
          <w:rFonts w:cs="Arial" w:ascii="Arial Narrow" w:hAnsi="Arial Narrow"/>
          <w:sz w:val="20"/>
        </w:rPr>
        <w:t xml:space="preserve">" means, with respect to the non-defaulting party, </w:t>
      </w:r>
      <w:r>
        <w:rPr>
          <w:rFonts w:cs="Arial Narrow" w:ascii="Arial Narrow" w:hAnsi="Arial Narrow"/>
          <w:sz w:val="20"/>
        </w:rPr>
        <w:t xml:space="preserve">all penalties and cashout costs and losses charged by any transporter in respect of all terminated Transactions, and </w:t>
      </w:r>
      <w:r>
        <w:rPr>
          <w:rFonts w:cs="Arial" w:ascii="Arial Narrow" w:hAnsi="Arial Narrow"/>
          <w:sz w:val="20"/>
        </w:rPr>
        <w:t xml:space="preserve">all amounts then otherwise payable to it hereunder less all amounts then otherwise payable by the non-defaulting party to the Defaulting Party hereunder.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Market Disruption Event</w:t>
      </w:r>
      <w:r>
        <w:rPr>
          <w:rFonts w:cs="Arial" w:ascii="Arial Narrow" w:hAnsi="Arial Narrow"/>
          <w:sz w:val="20"/>
        </w:rPr>
        <w:t>" means, with respect to the relevant price source, any of the following events (the existence of which shall be determined in good faith by UBS):  (i) the failure of the price source to announce or publish information necessary for determining the Contract Price; (ii) the failure of trading to commence or the permanent discontinuation or material suspension of trading in the relevant futures contract, options contract or commodity on the exchange or market (e.g., NYMEX) acting as the price source (the "</w:t>
      </w:r>
      <w:r>
        <w:rPr>
          <w:rFonts w:cs="Arial" w:ascii="Arial Narrow" w:hAnsi="Arial Narrow"/>
          <w:sz w:val="20"/>
          <w:u w:val="single"/>
        </w:rPr>
        <w:t>Exchange</w:t>
      </w:r>
      <w:r>
        <w:rPr>
          <w:rFonts w:cs="Arial" w:ascii="Arial Narrow" w:hAnsi="Arial Narrow"/>
          <w:sz w:val="20"/>
        </w:rPr>
        <w:t>"); (iii) the temporary or permanent discontinuance or unavailability of any relevant price source; (iv) the temporary or permanent closing of any Exchange acting as the price source; (v)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(vi) a material change in the formula for or the method of determining the Contract Price; or (vii) a material change in the content, composition or constitution of the relevant commodity.</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Merger Event</w:t>
      </w:r>
      <w:r>
        <w:rPr>
          <w:rFonts w:cs="Arial" w:ascii="Arial Narrow" w:hAnsi="Arial Narrow"/>
          <w:sz w:val="20"/>
        </w:rPr>
        <w:t xml:space="preserve">" means, with respect to a party or other entity, that such party or other entity, consolidates or amalgamates with, or merges into or with, or transfers substantially all of its assets to another entity and (i) the resulting entity fails to assume all of the obligations of such party or other entity hereunder or (ii) the benefits of any credit support provided pursuant to </w:t>
      </w:r>
      <w:r>
        <w:rPr>
          <w:rFonts w:cs="Arial" w:ascii="Arial Narrow" w:hAnsi="Arial Narrow"/>
          <w:sz w:val="20"/>
          <w:u w:val="single"/>
        </w:rPr>
        <w:t>Section 15</w:t>
      </w:r>
      <w:r>
        <w:rPr>
          <w:rFonts w:cs="Arial" w:ascii="Arial Narrow" w:hAnsi="Arial Narrow"/>
          <w:sz w:val="20"/>
        </w:rPr>
        <w:t xml:space="preserve"> fail to extend to the performance by such resulting, surviving or transferee entity of its obligations hereunder or (iii) the resulting entity's creditworthiness is materially weaker than that of such party or other entity immediately prior to such action.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Owed</w:t>
      </w:r>
      <w:r>
        <w:rPr>
          <w:rFonts w:cs="Arial" w:ascii="Arial Narrow" w:hAnsi="Arial Narrow"/>
          <w:sz w:val="20"/>
        </w:rPr>
        <w:t xml:space="preserve">" means any amounts owed or otherwise accrued and payable (regardless of whether such amounts have been or could be invoiced) as of the Early Termination Date.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Taxes</w:t>
      </w:r>
      <w:r>
        <w:rPr>
          <w:rFonts w:cs="Arial" w:ascii="Arial Narrow" w:hAnsi="Arial Narrow"/>
          <w:sz w:val="20"/>
        </w:rPr>
        <w:t xml:space="preserve">" means any or all ad valorem, goods and services, property, occupation, gross receipts, privilege, sales, use, consumption, excise, lease, transaction, and other taxes, governmental charges, licenses, fees, permits and assessments, or increase therein, other than taxes based on net income or net worth.  </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rFonts w:ascii="Arial Narrow" w:hAnsi="Arial Narrow" w:cs="Arial"/>
          <w:sz w:val="20"/>
          <w:szCs w:val="20"/>
        </w:rPr>
      </w:pPr>
      <w:r>
        <w:rPr>
          <w:rFonts w:cs="Arial" w:ascii="Arial Narrow" w:hAnsi="Arial Narrow"/>
          <w:sz w:val="20"/>
        </w:rPr>
        <w:t>"</w:t>
      </w:r>
      <w:r>
        <w:rPr>
          <w:rFonts w:cs="Arial" w:ascii="Arial Narrow" w:hAnsi="Arial Narrow"/>
          <w:sz w:val="20"/>
          <w:u w:val="single"/>
        </w:rPr>
        <w:t>Threshold Amount</w:t>
      </w:r>
      <w:r>
        <w:rPr>
          <w:rFonts w:cs="Arial" w:ascii="Arial Narrow" w:hAnsi="Arial Narrow"/>
          <w:sz w:val="20"/>
        </w:rPr>
        <w:t>" means, in respect of UBS and counterparty, or guarantor of counterparty, if applicable, an amount equal to two percent of shareholders' equity (howsoever described) as shown on the most recent annual audited statements of the relevant entity.</w:t>
      </w:r>
    </w:p>
    <w:p>
      <w:pPr>
        <w:pStyle w:val="Normal"/>
        <w:jc w:val="both"/>
        <w:rPr>
          <w:rFonts w:ascii="Arial Narrow" w:hAnsi="Arial Narrow" w:cs="Arial"/>
          <w:sz w:val="20"/>
          <w:szCs w:val="20"/>
        </w:rPr>
      </w:pPr>
      <w:r>
        <w:rPr>
          <w:rFonts w:cs="Arial" w:ascii="Arial Narrow" w:hAnsi="Arial Narrow"/>
          <w:sz w:val="20"/>
          <w:szCs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w:sz w:val="20"/>
      </w:rPr>
    </w:pPr>
    <w:r>
      <w:rPr>
        <w:rStyle w:val="PageNumber"/>
        <w:rFonts w:cs="Arial" w:ascii="Arial Narrow" w:hAnsi="Arial Narrow"/>
        <w:sz w:val="20"/>
      </w:rPr>
      <w:fldChar w:fldCharType="begin"/>
    </w:r>
    <w:r>
      <w:rPr>
        <w:rStyle w:val="PageNumber"/>
        <w:sz w:val="20"/>
        <w:rFonts w:cs="Arial" w:ascii="Arial Narrow" w:hAnsi="Arial Narrow"/>
      </w:rPr>
      <w:instrText xml:space="preserve"> PAGE </w:instrText>
    </w:r>
    <w:r>
      <w:rPr>
        <w:rStyle w:val="PageNumber"/>
        <w:sz w:val="20"/>
        <w:rFonts w:cs="Arial" w:ascii="Arial Narrow" w:hAnsi="Arial Narrow"/>
      </w:rPr>
      <w:fldChar w:fldCharType="separate"/>
    </w:r>
    <w:r>
      <w:rPr>
        <w:rStyle w:val="PageNumber"/>
        <w:sz w:val="20"/>
        <w:rFonts w:cs="Arial" w:ascii="Arial Narrow" w:hAnsi="Arial Narrow"/>
      </w:rPr>
      <w:t>9</w:t>
    </w:r>
    <w:r>
      <w:rPr>
        <w:rStyle w:val="PageNumber"/>
        <w:sz w:val="20"/>
        <w:rFonts w:cs="Arial" w:ascii="Arial Narrow" w:hAnsi="Arial Narrow"/>
      </w:rPr>
      <w:fldChar w:fldCharType="end"/>
    </w:r>
  </w:p>
  <w:p>
    <w:pPr>
      <w:pStyle w:val="Footer"/>
      <w:rPr>
        <w:rFonts w:ascii="Arial" w:hAnsi="Arial" w:cs="Arial"/>
        <w:sz w:val="18"/>
      </w:rPr>
    </w:pPr>
    <w:r>
      <w:rPr>
        <w:rFonts w:cs="Arial" w:ascii="Arial" w:hAnsi="Arial"/>
        <w:sz w:val="18"/>
      </w:rPr>
    </w:r>
  </w:p>
  <w:p>
    <w:pPr>
      <w:pStyle w:val="Footer"/>
      <w:rPr>
        <w:rFonts w:ascii="Arial Narrow" w:hAnsi="Arial Narrow" w:cs="Arial"/>
        <w:sz w:val="18"/>
      </w:rPr>
    </w:pPr>
    <w:r>
      <w:rPr>
        <w:rFonts w:cs="Arial" w:ascii="Arial Narrow" w:hAnsi="Arial Narrow"/>
        <w:sz w:val="18"/>
      </w:rPr>
      <w:t>Interruptible Gas GTC Collateral Support otc d January 2002</w:t>
    </w:r>
  </w:p>
  <w:p>
    <w:pPr>
      <w:pStyle w:val="Footer"/>
      <w:rPr>
        <w:rFonts w:ascii="Arial" w:hAnsi="Arial" w:cs="Arial"/>
        <w:sz w:val="18"/>
      </w:rPr>
    </w:pPr>
    <w:r>
      <w:rPr>
        <w:rFonts w:cs="Arial" w:ascii="Arial" w:hAnsi="Arial"/>
        <w:sz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szCs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50" w:leader="none"/>
        <w:tab w:val="left" w:pos="900" w:leader="none"/>
      </w:tabs>
      <w:autoSpaceDE w:val="false"/>
      <w:spacing w:before="0" w:after="64"/>
      <w:jc w:val="both"/>
    </w:pPr>
    <w:rPr>
      <w:rFonts w:ascii="Arial" w:hAnsi="Arial" w:cs="Arial"/>
      <w:color w:val="0000FF"/>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before="120" w:after="0"/>
      <w:ind w:firstLine="1440" w:start="0" w:end="0"/>
      <w:jc w:val="both"/>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2002-02-03T16:32:00Z</dcterms:created>
  <dc:creator>sdickso</dc:creator>
  <dc:description/>
  <dc:language>en-CA</dc:language>
  <cp:lastModifiedBy>mcook</cp:lastModifiedBy>
  <cp:lastPrinted>2002-02-03T13:30:00Z</cp:lastPrinted>
  <dcterms:modified xsi:type="dcterms:W3CDTF">2002-02-03T17:30:00Z</dcterms:modified>
  <cp:revision>12</cp:revision>
  <dc:subject/>
  <dc:title>ENA Natgas Firm GTC</dc:title>
</cp:coreProperties>
</file>