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INTERRUPTIBLE GAS GENERAL TERMS &amp; CONDITIONS (ONLINE)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the terms set forth in the internet-based electronic trading facility established by UBS referencing this GTC (the "</w:t>
      </w:r>
      <w:r>
        <w:rPr>
          <w:rFonts w:cs="Arial" w:ascii="Arial Narrow" w:hAnsi="Arial Narrow"/>
          <w:sz w:val="20"/>
          <w:szCs w:val="20"/>
          <w:u w:val="single"/>
        </w:rPr>
        <w:t>Website</w:t>
      </w:r>
      <w:r>
        <w:rPr>
          <w:rFonts w:cs="Arial" w:ascii="Arial Narrow" w:hAnsi="Arial Narrow"/>
          <w:sz w:val="20"/>
          <w:szCs w:val="20"/>
        </w:rPr>
        <w:t>") submitted by counterparty and accepted by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cs="Arial" w:ascii="Arial Narrow" w:hAnsi="Arial Narrow"/>
          <w:sz w:val="20"/>
          <w:szCs w:val="20"/>
          <w:u w:val="single"/>
        </w:rPr>
        <w:t>Long Product Definitions</w:t>
      </w:r>
      <w:r>
        <w:rPr>
          <w:rFonts w:cs="Arial" w:ascii="Arial Narrow" w:hAnsi="Arial Narrow"/>
          <w:sz w:val="20"/>
          <w:szCs w:val="20"/>
        </w:rPr>
        <w:t xml:space="preserve">"), which Long Product Definitions are incorporated as additional terms of the applicable Transaction.  Definitions applicable to certain capitalized terms herein used are set forth in </w:t>
      </w:r>
      <w:r>
        <w:rPr>
          <w:rFonts w:cs="Arial" w:ascii="Arial Narrow" w:hAnsi="Arial Narrow"/>
          <w:sz w:val="20"/>
          <w:szCs w:val="20"/>
          <w:u w:val="single"/>
        </w:rPr>
        <w:t>Section 16</w:t>
      </w:r>
      <w:r>
        <w:rPr>
          <w:rFonts w:cs="Arial" w:ascii="Arial Narrow" w:hAnsi="Arial Narrow"/>
          <w:sz w:val="20"/>
          <w:szCs w:val="20"/>
        </w:rPr>
        <w:t xml:space="preserve">.  All Transactions hereunder and all transactions made pursuant to the Interruptible Gas General Terms &amp; Conditions, but not transacted on the Website,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together with the Long Product Definitions) and this GTC or any master agreement that may govern the Transaction as set forth in the preceding sentence, the terms of the Transaction shall govern.  In entering into this Transaction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2. Quantity Obligations and Costs</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w:t>
      </w:r>
      <w:r>
        <w:rPr>
          <w:rFonts w:cs="Arial" w:ascii="Arial Narrow" w:hAnsi="Arial Narrow"/>
          <w:i/>
          <w:iCs/>
          <w:sz w:val="20"/>
          <w:szCs w:val="20"/>
        </w:rPr>
        <w:t xml:space="preserve">(Volume) </w:t>
      </w:r>
      <w:r>
        <w:rPr>
          <w:rFonts w:cs="Arial" w:ascii="Arial Narrow" w:hAnsi="Arial Narrow"/>
          <w:sz w:val="20"/>
          <w:szCs w:val="20"/>
        </w:rPr>
        <w:t xml:space="preserve">shall be scheduled on an interruptible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 xml:space="preserve">Delivery Point(s) </w:t>
      </w:r>
      <w:r>
        <w:rPr>
          <w:rFonts w:cs="Arial" w:ascii="Arial Narrow" w:hAnsi="Arial Narrow"/>
          <w:i/>
          <w:iCs/>
          <w:sz w:val="20"/>
          <w:szCs w:val="20"/>
        </w:rPr>
        <w:t>(Location)</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w:t>
      </w:r>
      <w:r>
        <w:rPr>
          <w:rFonts w:cs="Arial" w:ascii="Arial Narrow" w:hAnsi="Arial Narrow"/>
          <w:i/>
          <w:iCs/>
          <w:sz w:val="20"/>
          <w:szCs w:val="20"/>
        </w:rPr>
        <w:t>(Reference Period, being the Effective Date through the Termination Date as set forth in the Long Product Definitions)</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i/>
          <w:iCs/>
          <w:sz w:val="20"/>
          <w:szCs w:val="20"/>
        </w:rPr>
        <w:t>(Price)</w:t>
      </w:r>
      <w:r>
        <w:rPr>
          <w:rFonts w:cs="Arial" w:ascii="Arial Narrow" w:hAnsi="Arial Narrow"/>
          <w:b/>
          <w:bCs/>
          <w:sz w:val="20"/>
          <w:szCs w:val="20"/>
        </w:rPr>
        <w:t xml:space="preserve"> </w:t>
      </w:r>
      <w:r>
        <w:rPr>
          <w:rFonts w:cs="Arial" w:ascii="Arial Narrow" w:hAnsi="Arial Narrow"/>
          <w:sz w:val="20"/>
          <w:szCs w:val="20"/>
        </w:rPr>
        <w:t xml:space="preserve">as such terms are designated in each Transaction (italicized terminology is shown on the Website).  </w:t>
      </w:r>
      <w:r>
        <w:rPr>
          <w:rFonts w:cs="Arial Narrow" w:ascii="Arial Narrow" w:hAnsi="Arial Narrow"/>
          <w:sz w:val="20"/>
        </w:rPr>
        <w:t xml:space="preserve">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the Losses resulting from the termination of the parties' obligations under all Transactions (the "</w:t>
      </w:r>
      <w:r>
        <w:rPr>
          <w:rFonts w:cs="Arial" w:ascii="Arial Narrow" w:hAnsi="Arial Narrow"/>
          <w:sz w:val="20"/>
          <w:u w:val="single"/>
        </w:rPr>
        <w:t>Termination Payment</w:t>
      </w:r>
      <w:r>
        <w:rPr>
          <w:rFonts w:cs="Arial" w:ascii="Arial Narrow" w:hAnsi="Arial Narrow"/>
          <w:sz w:val="20"/>
        </w:rPr>
        <w:t xml:space="preserve">") and promptly notify the Defaulting Party thereof.  If the Termination Payment is a positive amount the Defaulting Party shall, within five Business Days of receipt of notice, pay the Termination Payment to the non-defaulting party, which Termination Payment shall accrue interest at the Interest Rate from the Early Termination Date until paid.  If the Termination Payment is a negative amount, subject to the rights of setoff set forth in </w:t>
      </w:r>
      <w:r>
        <w:rPr>
          <w:rFonts w:cs="Arial" w:ascii="Arial Narrow" w:hAnsi="Arial Narrow"/>
          <w:sz w:val="20"/>
          <w:u w:val="single"/>
        </w:rPr>
        <w:t>Section 4</w:t>
      </w:r>
      <w:r>
        <w:rPr>
          <w:rFonts w:cs="Arial" w:ascii="Arial Narrow" w:hAnsi="Arial Narrow"/>
          <w:sz w:val="20"/>
        </w:rPr>
        <w:t xml:space="preserve">, the non-defaulting party shall pay the absolute value of the Termination Payment to the Defaulting Party within five Business Days of such determination.  </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4.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4</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4</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4</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4</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4</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4</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4</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5.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5</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6.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7.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8.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 xml:space="preserve">Should Buyer desire to change the quantity to be scheduled, Buyer shall provide to Seller notice in accordance with </w:t>
      </w:r>
      <w:r>
        <w:rPr>
          <w:rFonts w:cs="Arial" w:ascii="Arial Narrow" w:hAnsi="Arial Narrow"/>
          <w:sz w:val="20"/>
          <w:u w:val="single"/>
        </w:rPr>
        <w:t>Section 2</w:t>
      </w:r>
      <w:r>
        <w:rPr>
          <w:rFonts w:cs="Arial" w:ascii="Arial Narrow" w:hAnsi="Arial Narrow"/>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9.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10.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11.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12.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13.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14.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rFonts w:cs="Arial" w:ascii="Arial Narrow" w:hAnsi="Arial Narrow"/>
          <w:sz w:val="20"/>
          <w:u w:val="single"/>
        </w:rPr>
        <w:t>Section 15</w:t>
      </w:r>
      <w:r>
        <w:rPr>
          <w:rFonts w:cs="Arial" w:ascii="Arial Narrow" w:hAnsi="Arial Narrow"/>
          <w:sz w:val="20"/>
        </w:rPr>
        <w:t xml:space="preserve">; the execution, delivery and performance of this GTC and each Transaction, including, without limitation, the provision of credit support pursuant to </w:t>
      </w:r>
      <w:r>
        <w:rPr>
          <w:rFonts w:cs="Arial" w:ascii="Arial Narrow" w:hAnsi="Arial Narrow"/>
          <w:sz w:val="20"/>
          <w:u w:val="single"/>
        </w:rPr>
        <w:t>Section 15</w:t>
      </w:r>
      <w:r>
        <w:rPr>
          <w:rFonts w:cs="Arial" w:ascii="Arial Narrow" w:hAnsi="Arial Narrow"/>
          <w:sz w:val="20"/>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or any guarantor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Narrow" w:hAnsi="Arial Narrow"/>
          <w:sz w:val="20"/>
          <w:u w:val="single"/>
        </w:rPr>
        <w:t>Section 15</w:t>
      </w:r>
      <w:r>
        <w:rPr>
          <w:rFonts w:cs="Arial" w:ascii="Arial Narrow" w:hAnsi="Arial Narrow"/>
          <w:sz w:val="20"/>
        </w:rPr>
        <w:t xml:space="preserve">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cs="Arial" w:ascii="Arial Narrow" w:hAnsi="Arial Narrow"/>
          <w:sz w:val="20"/>
          <w:u w:val="single"/>
        </w:rPr>
        <w:t>Section 15</w:t>
      </w:r>
      <w:r>
        <w:rPr>
          <w:rFonts w:cs="Arial" w:ascii="Arial Narrow" w:hAnsi="Arial Narrow"/>
          <w:sz w:val="20"/>
        </w:rPr>
        <w:t xml:space="preserve"> continues to extend to the performance of the Affiliate assignee.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together with the Long Product Definitions and the Electronic Trading Agreement between the parties,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15.  Credit Support Arrangements</w:t>
      </w:r>
      <w:r>
        <w:rPr>
          <w:rFonts w:cs="Arial" w:ascii="Arial Narrow" w:hAnsi="Arial Narrow"/>
          <w:sz w:val="20"/>
        </w:rPr>
        <w:t>.  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cs="Arial" w:ascii="Arial Narrow" w:hAnsi="Arial Narrow"/>
          <w:sz w:val="20"/>
          <w:u w:val="single"/>
        </w:rPr>
        <w:t>Rating Level</w:t>
      </w:r>
      <w:r>
        <w:rPr>
          <w:rFonts w:cs="Arial" w:ascii="Arial Narrow" w:hAnsi="Arial Narrow"/>
          <w:sz w:val="20"/>
        </w:rPr>
        <w:t>"), in each case, as is acceptable to UBS in its commercially reasonable discretion (a "</w:t>
      </w:r>
      <w:r>
        <w:rPr>
          <w:rFonts w:cs="Arial" w:ascii="Arial Narrow" w:hAnsi="Arial Narrow"/>
          <w:sz w:val="20"/>
          <w:u w:val="single"/>
        </w:rPr>
        <w:t>Letter of Credit</w:t>
      </w:r>
      <w:r>
        <w:rPr>
          <w:rFonts w:cs="Arial" w:ascii="Arial Narrow" w:hAnsi="Arial Narrow"/>
          <w:sz w:val="20"/>
        </w:rPr>
        <w:t>"),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GTC counterparty hereby grants to UBS a first-priority, present and continuing security interest in, lien on, right of setoff against, and assignment of, all currency or other collateral delivered pursuant to the terms of this GTC or any Transaction and any and all proceeds resulting therefrom or the liquidation thereof, whether now or hereafter held by, on behalf of, or for the benefit of, UBS (the "</w:t>
      </w:r>
      <w:r>
        <w:rPr>
          <w:rFonts w:cs="Arial" w:ascii="Arial Narrow" w:hAnsi="Arial Narrow"/>
          <w:sz w:val="20"/>
          <w:u w:val="single"/>
        </w:rPr>
        <w:t>Lien</w:t>
      </w:r>
      <w:r>
        <w:rPr>
          <w:rFonts w:cs="Arial" w:ascii="Arial Narrow" w:hAnsi="Arial Narrow"/>
          <w:sz w:val="20"/>
        </w:rPr>
        <w:t xml:space="preserve">"), and counterparty agrees to take such action as UBS reasonably requires in order to perfect a first-priority Lien favor of UBS.  Upon an Event of Default wherein UBS is the non-defaulting party,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16.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w:t>
      </w:r>
      <w:r>
        <w:rPr>
          <w:rFonts w:cs="Arial" w:ascii="Arial Narrow" w:hAnsi="Arial Narrow"/>
          <w:sz w:val="20"/>
          <w:u w:val="single"/>
        </w:rPr>
        <w:t>Section 15</w:t>
      </w:r>
      <w:r>
        <w:rPr>
          <w:rFonts w:cs="Arial" w:ascii="Arial Narrow" w:hAnsi="Arial Narrow"/>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w:t>
      </w:r>
      <w:r>
        <w:rPr>
          <w:rFonts w:cs="Arial" w:ascii="Arial Narrow" w:hAnsi="Arial Narrow"/>
          <w:sz w:val="20"/>
          <w:szCs w:val="20"/>
        </w:rPr>
        <w:t xml:space="preserve">(viii)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 xml:space="preserve">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 (ix) the guarantor of the Defaulting Party fails to perform any covenant set forth in any guaranty agreement provided pursuant to </w:t>
      </w:r>
      <w:r>
        <w:rPr>
          <w:rFonts w:cs="Arial" w:ascii="Arial Narrow" w:hAnsi="Arial Narrow"/>
          <w:sz w:val="20"/>
          <w:szCs w:val="20"/>
          <w:u w:val="single"/>
        </w:rPr>
        <w:t>Section 15</w:t>
      </w:r>
      <w:r>
        <w:rPr>
          <w:rFonts w:cs="Arial" w:ascii="Arial Narrow" w:hAnsi="Arial Narrow"/>
          <w:sz w:val="20"/>
          <w:szCs w:val="20"/>
        </w:rPr>
        <w:t>, any representation or warranty made by the guarantor in such guaranty agreement shall prove to have been false or misleading in any material respect when made, the guarantor</w:t>
      </w:r>
      <w:r>
        <w:rPr>
          <w:rFonts w:cs="Arial" w:ascii="Arial Narrow" w:hAnsi="Arial Narrow"/>
          <w:sz w:val="20"/>
          <w:szCs w:val="22"/>
        </w:rPr>
        <w:t xml:space="preserve"> disaffirms, disclaims, repudiates or rejects, in whole or in part, or challenges the validity of, any such guaranty agreement, </w:t>
      </w:r>
      <w:r>
        <w:rPr>
          <w:rFonts w:cs="Arial" w:ascii="Arial Narrow" w:hAnsi="Arial Narrow"/>
          <w:sz w:val="20"/>
          <w:szCs w:val="20"/>
        </w:rPr>
        <w:t xml:space="preserve">or the guarantor takes or suffers any actions set forth in items (vi) or (vii) above as applied to it; (x) </w:t>
      </w:r>
      <w:r>
        <w:rPr>
          <w:rFonts w:cs="Arial" w:ascii="Arial Narrow" w:hAnsi="Arial Narrow"/>
          <w:sz w:val="20"/>
          <w:szCs w:val="22"/>
        </w:rPr>
        <w:t xml:space="preserve">the issuer of a Letter of Credit (defined in </w:t>
      </w:r>
      <w:r>
        <w:rPr>
          <w:rFonts w:cs="Arial" w:ascii="Arial Narrow" w:hAnsi="Arial Narrow"/>
          <w:sz w:val="20"/>
          <w:szCs w:val="22"/>
          <w:u w:val="single"/>
        </w:rPr>
        <w:t>Section 15</w:t>
      </w:r>
      <w:r>
        <w:rPr>
          <w:rFonts w:cs="Arial" w:ascii="Arial Narrow" w:hAnsi="Arial Narrow"/>
          <w:sz w:val="20"/>
          <w:szCs w:val="22"/>
        </w:rPr>
        <w:t xml:space="preserve">) provided pursuant to </w:t>
      </w:r>
      <w:r>
        <w:rPr>
          <w:rFonts w:cs="Arial" w:ascii="Arial Narrow" w:hAnsi="Arial Narrow"/>
          <w:sz w:val="20"/>
          <w:szCs w:val="22"/>
          <w:u w:val="single"/>
        </w:rPr>
        <w:t>Section 15</w:t>
      </w:r>
      <w:r>
        <w:rPr>
          <w:rFonts w:cs="Arial" w:ascii="Arial Narrow" w:hAnsi="Arial Narrow"/>
          <w:sz w:val="20"/>
          <w:szCs w:val="22"/>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rFonts w:cs="Arial" w:ascii="Arial Narrow" w:hAnsi="Arial Narrow"/>
          <w:sz w:val="20"/>
          <w:szCs w:val="20"/>
        </w:rPr>
        <w:t>r takes or suffers any actions set forth in item (vi) above as applied to it,</w:t>
      </w:r>
      <w:r>
        <w:rPr>
          <w:rFonts w:cs="Arial" w:ascii="Arial Narrow" w:hAnsi="Arial Narrow"/>
          <w:sz w:val="20"/>
          <w:szCs w:val="22"/>
        </w:rPr>
        <w:t xml:space="preserve"> or such Letter of Credit expires or terminates or fails or ceases to be in full force and effect at any time during the term of the Transaction for which it is issued without having been replaced, or such issuer fails to maintain the Rating Level (defined in </w:t>
      </w:r>
      <w:r>
        <w:rPr>
          <w:rFonts w:cs="Arial" w:ascii="Arial Narrow" w:hAnsi="Arial Narrow"/>
          <w:sz w:val="20"/>
          <w:szCs w:val="22"/>
          <w:u w:val="single"/>
        </w:rPr>
        <w:t>Section 15</w:t>
      </w:r>
      <w:r>
        <w:rPr>
          <w:rFonts w:cs="Arial" w:ascii="Arial Narrow" w:hAnsi="Arial Narrow"/>
          <w:sz w:val="20"/>
          <w:szCs w:val="22"/>
        </w:rPr>
        <w:t>) without the Letter of Credit having been replaced by another issuer satisfactory to UBS; or (xi) an event of default occurs (howsoever determined) with respect to UBS, as Defaulting Party, or counterparty, or guarantor of counterparty,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the non-defaulting party, </w:t>
      </w:r>
      <w:r>
        <w:rPr>
          <w:rFonts w:cs="Arial Narrow" w:ascii="Arial Narrow" w:hAnsi="Arial Narrow"/>
          <w:sz w:val="20"/>
        </w:rPr>
        <w:t xml:space="preserve">all penalties and cashout costs and losses charged by any transporter in respect of all terminated Transactions, and </w:t>
      </w:r>
      <w:r>
        <w:rPr>
          <w:rFonts w:cs="Arial" w:ascii="Arial Narrow" w:hAnsi="Arial Narrow"/>
          <w:sz w:val="20"/>
        </w:rPr>
        <w:t xml:space="preserve">all amounts then otherwise payable to it hereunder less all amounts then otherwise payable by the non-defaulting party to the Defaulting Party hereunder.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w:ascii="Arial Narrow" w:hAnsi="Arial Narrow"/>
          <w:sz w:val="20"/>
          <w:u w:val="single"/>
        </w:rPr>
        <w:t>Section 15</w:t>
      </w:r>
      <w:r>
        <w:rPr>
          <w:rFonts w:cs="Arial" w:ascii="Arial Narrow" w:hAnsi="Arial Narrow"/>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9</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Interruptible Gas GTC Collateral Support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2002-02-03T17:33:00Z</dcterms:created>
  <dc:creator>sdickso</dc:creator>
  <dc:description/>
  <dc:language>en-CA</dc:language>
  <cp:lastModifiedBy>mcook</cp:lastModifiedBy>
  <cp:lastPrinted>2002-02-03T14:15:00Z</cp:lastPrinted>
  <dcterms:modified xsi:type="dcterms:W3CDTF">2002-02-03T17:49:00Z</dcterms:modified>
  <cp:revision>7</cp:revision>
  <dc:subject/>
  <dc:title>ENA Natgas Firm GTC</dc:title>
</cp:coreProperties>
</file>