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main"/>
        <w:rPr/>
      </w:pPr>
      <w:r>
        <w:rPr/>
        <w:t>DATA REQUEST #1</w:t>
      </w:r>
    </w:p>
    <w:p>
      <w:pPr>
        <w:pStyle w:val="main"/>
        <w:rPr/>
      </w:pPr>
      <w:r>
        <w:rPr/>
        <w:t>CPUC-Energy Division</w:t>
      </w:r>
    </w:p>
    <w:p>
      <w:pPr>
        <w:pStyle w:val="main"/>
        <w:rPr/>
      </w:pPr>
      <w:r>
        <w:rPr/>
        <w:t>R. 00-10-002</w:t>
      </w:r>
    </w:p>
    <w:p>
      <w:pPr>
        <w:pStyle w:val="main"/>
        <w:jc w:val="start"/>
        <w:rPr>
          <w:rFonts w:ascii="PALATINO;Book Antiqua" w:hAnsi="PALATINO;Book Antiqua" w:cs="PALATINO;Book Antiqua"/>
          <w:b w:val="false"/>
        </w:rPr>
      </w:pPr>
      <w:r>
        <w:rPr>
          <w:rFonts w:cs="PALATINO;Book Antiqua" w:ascii="PALATINO;Book Antiqua" w:hAnsi="PALATINO;Book Antiqua"/>
          <w:b w:val="false"/>
        </w:rPr>
      </w:r>
    </w:p>
    <w:p>
      <w:pPr>
        <w:pStyle w:val="1g"/>
        <w:rPr/>
      </w:pPr>
      <w:r>
        <w:rPr/>
        <w:t>1.</w:t>
        <w:tab/>
      </w:r>
      <w:r>
        <w:rPr>
          <w:b/>
        </w:rPr>
        <w:t>Each respondent</w:t>
      </w:r>
      <w:r>
        <w:rPr/>
        <w:t xml:space="preserve"> (PG&amp;E, Edison, SDG&amp;E, CAISO) </w:t>
      </w:r>
    </w:p>
    <w:p>
      <w:pPr>
        <w:pStyle w:val="main"/>
        <w:jc w:val="start"/>
        <w:rPr>
          <w:rFonts w:ascii="PALATINO;Book Antiqua" w:hAnsi="PALATINO;Book Antiqua" w:cs="PALATINO;Book Antiqua"/>
        </w:rPr>
      </w:pPr>
      <w:r>
        <w:rPr>
          <w:rFonts w:cs="PALATINO;Book Antiqua" w:ascii="PALATINO;Book Antiqua" w:hAnsi="PALATINO;Book Antiqua"/>
        </w:rPr>
      </w:r>
    </w:p>
    <w:p>
      <w:pPr>
        <w:pStyle w:val="block1"/>
        <w:rPr/>
      </w:pPr>
      <w:r>
        <w:rPr/>
        <w:t xml:space="preserve">Shall provide the following data, or copies of the following items, by Friday, December 8, 2000 to ALJ Mattson, James Hendry, and 3 copies to Energy Division.  Each respondent shall also provide a copy to any party on the service list at the request of that party. </w:t>
      </w:r>
    </w:p>
    <w:p>
      <w:pPr>
        <w:pStyle w:val="main"/>
        <w:jc w:val="start"/>
        <w:rPr>
          <w:rFonts w:ascii="PALATINO;Book Antiqua" w:hAnsi="PALATINO;Book Antiqua" w:cs="PALATINO;Book Antiqua"/>
          <w:b w:val="false"/>
        </w:rPr>
      </w:pPr>
      <w:r>
        <w:rPr>
          <w:rFonts w:cs="PALATINO;Book Antiqua" w:ascii="PALATINO;Book Antiqua" w:hAnsi="PALATINO;Book Antiqua"/>
          <w:b w:val="false"/>
        </w:rPr>
      </w:r>
    </w:p>
    <w:p>
      <w:pPr>
        <w:pStyle w:val="11"/>
        <w:rPr/>
      </w:pPr>
      <w:r>
        <w:rPr/>
        <w:t>1.1.</w:t>
        <w:tab/>
        <w:t xml:space="preserve">A report which identifies, briefly describes, and summarizes each interruptible, curtailable, and demand responsiveness program which each respondent now offers, or has recently been developing.  (The report may exclude proposals made December 4, 2000.)  The report shall include a copy of applicable tariff pages and rules.  The CAISO response will include information regarding its Ancillary Services Load Program (ASLP), Demand Relief Program (DRP), Voluntary Load Curtailment Program (VLCP), and other relevant programs.  (Each report is expected to be a compilation of existing information.)  </w:t>
      </w:r>
    </w:p>
    <w:p>
      <w:pPr>
        <w:pStyle w:val="main"/>
        <w:jc w:val="start"/>
        <w:rPr>
          <w:rFonts w:ascii="PALATINO;Book Antiqua" w:hAnsi="PALATINO;Book Antiqua" w:cs="PALATINO;Book Antiqua"/>
          <w:b w:val="false"/>
        </w:rPr>
      </w:pPr>
      <w:r>
        <w:rPr>
          <w:rFonts w:cs="PALATINO;Book Antiqua" w:ascii="PALATINO;Book Antiqua" w:hAnsi="PALATINO;Book Antiqua"/>
          <w:b w:val="false"/>
        </w:rPr>
      </w:r>
    </w:p>
    <w:p>
      <w:pPr>
        <w:pStyle w:val="11"/>
        <w:rPr/>
      </w:pPr>
      <w:r>
        <w:rPr/>
        <w:t>1.2.</w:t>
        <w:tab/>
        <w:t>A report which identifies existing priorities for curtailing customers during times of energy shortages, and how each respondent implements or administers these priorities.  (Each report is expected to be a compilation of existing information.)</w:t>
      </w:r>
      <w:r>
        <w:br w:type="page"/>
      </w:r>
    </w:p>
    <w:p>
      <w:pPr>
        <w:pStyle w:val="main"/>
        <w:jc w:val="start"/>
        <w:rPr>
          <w:rFonts w:ascii="PALATINO;Book Antiqua" w:hAnsi="PALATINO;Book Antiqua" w:cs="PALATINO;Book Antiqua"/>
          <w:b w:val="false"/>
        </w:rPr>
      </w:pPr>
      <w:r>
        <w:rPr>
          <w:rFonts w:cs="PALATINO;Book Antiqua" w:ascii="PALATINO;Book Antiqua" w:hAnsi="PALATINO;Book Antiqua"/>
          <w:b w:val="false"/>
        </w:rPr>
      </w:r>
    </w:p>
    <w:p>
      <w:pPr>
        <w:pStyle w:val="1g"/>
        <w:rPr/>
      </w:pPr>
      <w:r>
        <w:rPr/>
        <w:t>2.</w:t>
        <w:tab/>
      </w:r>
      <w:r>
        <w:rPr>
          <w:b/>
        </w:rPr>
        <w:t>Each Respondent Utility</w:t>
      </w:r>
      <w:r>
        <w:rPr/>
        <w:t xml:space="preserve"> (PG&amp;E, Edison, SDG&amp;E) </w:t>
      </w:r>
    </w:p>
    <w:p>
      <w:pPr>
        <w:pStyle w:val="main"/>
        <w:jc w:val="start"/>
        <w:rPr>
          <w:rFonts w:ascii="PALATINO;Book Antiqua" w:hAnsi="PALATINO;Book Antiqua" w:cs="PALATINO;Book Antiqua"/>
        </w:rPr>
      </w:pPr>
      <w:r>
        <w:rPr>
          <w:rFonts w:cs="PALATINO;Book Antiqua" w:ascii="PALATINO;Book Antiqua" w:hAnsi="PALATINO;Book Antiqua"/>
        </w:rPr>
      </w:r>
    </w:p>
    <w:p>
      <w:pPr>
        <w:pStyle w:val="block1"/>
        <w:rPr/>
      </w:pPr>
      <w:r>
        <w:rPr/>
        <w:t xml:space="preserve">Shall provide the following data, or copies of the following items, by Friday, December 15, 2000 to ALJ Mattson, James Hendry, and 3 copies to Energy Division.  Data should be provided in Excel on disk, and in hard copy.  Each respondent shall also provide a copy to any party on the service list at the request of that party.  Copies to parties may be subject to an applicable non-disclosure agreement, redaction, or aggregation to protect the identity of customers.  </w:t>
      </w:r>
    </w:p>
    <w:p>
      <w:pPr>
        <w:pStyle w:val="main"/>
        <w:ind w:start="2160" w:end="0"/>
        <w:jc w:val="start"/>
        <w:rPr>
          <w:rFonts w:ascii="PALATINO;Book Antiqua" w:hAnsi="PALATINO;Book Antiqua" w:cs="PALATINO;Book Antiqua"/>
          <w:b w:val="false"/>
        </w:rPr>
      </w:pPr>
      <w:r>
        <w:rPr>
          <w:rFonts w:cs="PALATINO;Book Antiqua" w:ascii="PALATINO;Book Antiqua" w:hAnsi="PALATINO;Book Antiqua"/>
          <w:b w:val="false"/>
        </w:rPr>
      </w:r>
    </w:p>
    <w:p>
      <w:pPr>
        <w:pStyle w:val="dec1"/>
        <w:rPr/>
      </w:pPr>
      <w:r>
        <w:rPr/>
        <w:t>2.1.</w:t>
        <w:tab/>
        <w:t>A list of customers on each interruptible schedule for the last 10 years</w:t>
      </w:r>
    </w:p>
    <w:p>
      <w:pPr>
        <w:pStyle w:val="main"/>
        <w:ind w:start="720" w:end="0"/>
        <w:jc w:val="start"/>
        <w:rPr>
          <w:rFonts w:ascii="PALATINO;Book Antiqua" w:hAnsi="PALATINO;Book Antiqua" w:cs="PALATINO;Book Antiqua"/>
          <w:b w:val="false"/>
        </w:rPr>
      </w:pPr>
      <w:r>
        <w:rPr>
          <w:rFonts w:cs="PALATINO;Book Antiqua" w:ascii="PALATINO;Book Antiqua" w:hAnsi="PALATINO;Book Antiqua"/>
          <w:b w:val="false"/>
        </w:rPr>
      </w:r>
    </w:p>
    <w:p>
      <w:pPr>
        <w:pStyle w:val="dec1"/>
        <w:rPr/>
      </w:pPr>
      <w:r>
        <w:rPr/>
        <w:t>2.2.</w:t>
        <w:tab/>
        <w:t>For each listed customer in the last 10 years:</w:t>
      </w:r>
    </w:p>
    <w:p>
      <w:pPr>
        <w:pStyle w:val="main"/>
        <w:ind w:start="720" w:end="0"/>
        <w:jc w:val="start"/>
        <w:rPr>
          <w:rFonts w:ascii="PALATINO;Book Antiqua" w:hAnsi="PALATINO;Book Antiqua" w:cs="PALATINO;Book Antiqua"/>
          <w:b w:val="false"/>
        </w:rPr>
      </w:pPr>
      <w:r>
        <w:rPr>
          <w:rFonts w:cs="PALATINO;Book Antiqua" w:ascii="PALATINO;Book Antiqua" w:hAnsi="PALATINO;Book Antiqua"/>
          <w:b w:val="false"/>
        </w:rPr>
      </w:r>
    </w:p>
    <w:p>
      <w:pPr>
        <w:pStyle w:val="dec2"/>
        <w:rPr/>
      </w:pPr>
      <w:r>
        <w:rPr/>
        <w:t>2.2.1.</w:t>
        <w:tab/>
        <w:t>The name, account number, address, three digit Standard Industrial Classification (SIC) code, and location (by county, and by Reliability Must Run area, if any)</w:t>
      </w:r>
    </w:p>
    <w:p>
      <w:pPr>
        <w:pStyle w:val="dec2"/>
        <w:rPr/>
      </w:pPr>
      <w:r>
        <w:rPr/>
        <w:t>2.2.2.</w:t>
        <w:tab/>
        <w:t>Average load, coincident peak load, and non-coincident peak load for each of the last ten years</w:t>
      </w:r>
    </w:p>
    <w:p>
      <w:pPr>
        <w:pStyle w:val="dec2"/>
        <w:rPr/>
      </w:pPr>
      <w:r>
        <w:rPr/>
        <w:t>2.2.3.</w:t>
        <w:tab/>
        <w:t>For each customer with self generation:</w:t>
      </w:r>
    </w:p>
    <w:p>
      <w:pPr>
        <w:pStyle w:val="2231"/>
        <w:rPr/>
      </w:pPr>
      <w:r>
        <w:rPr/>
        <w:t>2.2.3.1.</w:t>
        <w:tab/>
        <w:t>rated capacity of self generation</w:t>
      </w:r>
    </w:p>
    <w:p>
      <w:pPr>
        <w:pStyle w:val="2231"/>
        <w:rPr/>
      </w:pPr>
      <w:r>
        <w:rPr/>
        <w:t>2.2.3.2.</w:t>
        <w:tab/>
        <w:t>fuel type</w:t>
      </w:r>
    </w:p>
    <w:p>
      <w:pPr>
        <w:pStyle w:val="2231"/>
        <w:spacing w:before="0" w:after="120"/>
        <w:ind w:hanging="994" w:start="3240" w:end="0"/>
        <w:rPr/>
      </w:pPr>
      <w:r>
        <w:rPr/>
        <w:t>2.2.3.3.</w:t>
        <w:tab/>
        <w:t>number of hours generation may operate without violating air quality limits</w:t>
      </w:r>
    </w:p>
    <w:p>
      <w:pPr>
        <w:pStyle w:val="dec2"/>
        <w:rPr/>
      </w:pPr>
      <w:r>
        <w:rPr/>
        <w:t>2.2.4.</w:t>
        <w:tab/>
        <w:t>For each interruptible agreement for that customer:</w:t>
      </w:r>
    </w:p>
    <w:p>
      <w:pPr>
        <w:pStyle w:val="dec4"/>
        <w:rPr/>
      </w:pPr>
      <w:r>
        <w:rPr/>
        <w:t>2.2.4.1.</w:t>
        <w:tab/>
        <w:t>date agreement was signed</w:t>
      </w:r>
    </w:p>
    <w:p>
      <w:pPr>
        <w:pStyle w:val="dec4"/>
        <w:rPr/>
      </w:pPr>
      <w:r>
        <w:rPr/>
        <w:t>2.2.4.2.</w:t>
        <w:tab/>
        <w:t>date agreement became effective</w:t>
      </w:r>
    </w:p>
    <w:p>
      <w:pPr>
        <w:pStyle w:val="dec4"/>
        <w:rPr/>
      </w:pPr>
      <w:r>
        <w:rPr/>
        <w:t>2.2.4.3.</w:t>
        <w:tab/>
        <w:t>megawatts that are interruptible</w:t>
      </w:r>
    </w:p>
    <w:p>
      <w:pPr>
        <w:pStyle w:val="dec4"/>
        <w:ind w:hanging="1080" w:start="3240" w:end="0"/>
        <w:rPr/>
      </w:pPr>
      <w:r>
        <w:rPr/>
        <w:t>2.2.4.4.</w:t>
        <w:tab/>
        <w:t>if ended, date customer requested to end agreement</w:t>
      </w:r>
    </w:p>
    <w:p>
      <w:pPr>
        <w:pStyle w:val="dec4"/>
        <w:spacing w:before="0" w:after="120"/>
        <w:rPr/>
      </w:pPr>
      <w:r>
        <w:rPr/>
        <w:t>2.2.4.5.</w:t>
        <w:tab/>
        <w:t>date agreement ended</w:t>
      </w:r>
    </w:p>
    <w:p>
      <w:pPr>
        <w:pStyle w:val="dec2"/>
        <w:rPr/>
      </w:pPr>
      <w:r>
        <w:rPr/>
        <w:t>2.2.5.</w:t>
        <w:tab/>
        <w:t>Instances the customer was asked to curtail, and for each instance:</w:t>
      </w:r>
    </w:p>
    <w:p>
      <w:pPr>
        <w:pStyle w:val="dec6"/>
        <w:rPr/>
      </w:pPr>
      <w:r>
        <w:rPr/>
        <w:t>2.2.5.1.</w:t>
        <w:tab/>
        <w:t>Date and time of the requested curtailment</w:t>
      </w:r>
    </w:p>
    <w:p>
      <w:pPr>
        <w:pStyle w:val="main"/>
        <w:tabs>
          <w:tab w:val="clear" w:pos="720"/>
          <w:tab w:val="left" w:pos="3240" w:leader="none"/>
        </w:tabs>
        <w:ind w:start="2160" w:end="0"/>
        <w:jc w:val="start"/>
        <w:rPr>
          <w:rFonts w:ascii="PALATINO;Book Antiqua" w:hAnsi="PALATINO;Book Antiqua" w:cs="PALATINO;Book Antiqua"/>
          <w:b w:val="false"/>
        </w:rPr>
      </w:pPr>
      <w:r>
        <w:rPr>
          <w:rFonts w:cs="PALATINO;Book Antiqua" w:ascii="PALATINO;Book Antiqua" w:hAnsi="PALATINO;Book Antiqua"/>
          <w:b w:val="false"/>
        </w:rPr>
        <w:t>2.2.5.2.</w:t>
        <w:tab/>
        <w:t>Ending time of the requested curtailment</w:t>
      </w:r>
    </w:p>
    <w:p>
      <w:pPr>
        <w:pStyle w:val="main"/>
        <w:tabs>
          <w:tab w:val="clear" w:pos="720"/>
          <w:tab w:val="left" w:pos="3240" w:leader="none"/>
        </w:tabs>
        <w:ind w:start="2160" w:end="0"/>
        <w:jc w:val="start"/>
        <w:rPr>
          <w:rFonts w:ascii="PALATINO;Book Antiqua" w:hAnsi="PALATINO;Book Antiqua" w:cs="PALATINO;Book Antiqua"/>
          <w:b w:val="false"/>
        </w:rPr>
      </w:pPr>
      <w:r>
        <w:rPr>
          <w:rFonts w:cs="PALATINO;Book Antiqua" w:ascii="PALATINO;Book Antiqua" w:hAnsi="PALATINO;Book Antiqua"/>
          <w:b w:val="false"/>
        </w:rPr>
        <w:t>2.2.5.3.</w:t>
        <w:tab/>
        <w:t>Base usage (from which curtailment was measured)</w:t>
      </w:r>
    </w:p>
    <w:p>
      <w:pPr>
        <w:pStyle w:val="main"/>
        <w:tabs>
          <w:tab w:val="clear" w:pos="720"/>
          <w:tab w:val="left" w:pos="3240" w:leader="none"/>
        </w:tabs>
        <w:ind w:start="2160" w:end="0"/>
        <w:jc w:val="start"/>
        <w:rPr>
          <w:rFonts w:ascii="PALATINO;Book Antiqua" w:hAnsi="PALATINO;Book Antiqua" w:cs="PALATINO;Book Antiqua"/>
          <w:b w:val="false"/>
        </w:rPr>
      </w:pPr>
      <w:r>
        <w:rPr>
          <w:rFonts w:cs="PALATINO;Book Antiqua" w:ascii="PALATINO;Book Antiqua" w:hAnsi="PALATINO;Book Antiqua"/>
          <w:b w:val="false"/>
        </w:rPr>
        <w:t>2.2.5.4.</w:t>
        <w:tab/>
        <w:t>Minimum reduction needed to comply with tariff</w:t>
      </w:r>
    </w:p>
    <w:p>
      <w:pPr>
        <w:pStyle w:val="main"/>
        <w:tabs>
          <w:tab w:val="clear" w:pos="720"/>
          <w:tab w:val="left" w:pos="3240" w:leader="none"/>
        </w:tabs>
        <w:ind w:start="2160" w:end="0"/>
        <w:jc w:val="start"/>
        <w:rPr>
          <w:rFonts w:ascii="PALATINO;Book Antiqua" w:hAnsi="PALATINO;Book Antiqua" w:cs="PALATINO;Book Antiqua"/>
          <w:b w:val="false"/>
        </w:rPr>
      </w:pPr>
      <w:r>
        <w:rPr>
          <w:rFonts w:cs="PALATINO;Book Antiqua" w:ascii="PALATINO;Book Antiqua" w:hAnsi="PALATINO;Book Antiqua"/>
          <w:b w:val="false"/>
        </w:rPr>
        <w:t>2.2.5.5.</w:t>
        <w:tab/>
        <w:t>Actual reduction</w:t>
      </w:r>
    </w:p>
    <w:p>
      <w:pPr>
        <w:pStyle w:val="main"/>
        <w:tabs>
          <w:tab w:val="clear" w:pos="720"/>
          <w:tab w:val="left" w:pos="3240" w:leader="none"/>
        </w:tabs>
        <w:ind w:start="2160" w:end="0"/>
        <w:jc w:val="start"/>
        <w:rPr>
          <w:rFonts w:ascii="PALATINO;Book Antiqua" w:hAnsi="PALATINO;Book Antiqua" w:cs="PALATINO;Book Antiqua"/>
          <w:b w:val="false"/>
        </w:rPr>
      </w:pPr>
      <w:r>
        <w:rPr>
          <w:rFonts w:cs="PALATINO;Book Antiqua" w:ascii="PALATINO;Book Antiqua" w:hAnsi="PALATINO;Book Antiqua"/>
          <w:b w:val="false"/>
        </w:rPr>
        <w:t>2.2.5.6.</w:t>
        <w:tab/>
        <w:t>The amount of repaid rate per failed curtailment</w:t>
      </w:r>
    </w:p>
    <w:p>
      <w:pPr>
        <w:pStyle w:val="main"/>
        <w:tabs>
          <w:tab w:val="clear" w:pos="720"/>
          <w:tab w:val="left" w:pos="3240" w:leader="none"/>
        </w:tabs>
        <w:ind w:hanging="1080" w:start="3240" w:end="0"/>
        <w:jc w:val="start"/>
        <w:rPr>
          <w:rFonts w:ascii="PALATINO;Book Antiqua" w:hAnsi="PALATINO;Book Antiqua" w:cs="PALATINO;Book Antiqua"/>
          <w:b w:val="false"/>
        </w:rPr>
      </w:pPr>
      <w:r>
        <w:rPr>
          <w:rFonts w:cs="PALATINO;Book Antiqua" w:ascii="PALATINO;Book Antiqua" w:hAnsi="PALATINO;Book Antiqua"/>
          <w:b w:val="false"/>
        </w:rPr>
        <w:t>2.2.5.7.</w:t>
        <w:tab/>
        <w:t>The amount of non-compliance penalty per failed curtailment.</w:t>
      </w:r>
    </w:p>
    <w:p>
      <w:pPr>
        <w:pStyle w:val="main"/>
        <w:tabs>
          <w:tab w:val="clear" w:pos="720"/>
          <w:tab w:val="left" w:pos="3240" w:leader="none"/>
        </w:tabs>
        <w:spacing w:before="0" w:after="240"/>
        <w:ind w:start="2074" w:end="0"/>
        <w:jc w:val="start"/>
        <w:rPr>
          <w:rFonts w:ascii="PALATINO;Book Antiqua" w:hAnsi="PALATINO;Book Antiqua" w:cs="PALATINO;Book Antiqua"/>
          <w:b w:val="false"/>
        </w:rPr>
      </w:pPr>
      <w:r>
        <w:rPr>
          <w:rFonts w:cs="PALATINO;Book Antiqua" w:ascii="PALATINO;Book Antiqua" w:hAnsi="PALATINO;Book Antiqua"/>
          <w:b w:val="false"/>
        </w:rPr>
        <w:t>2.2.5.8.</w:t>
        <w:tab/>
        <w:t>Megawatts self-generated</w:t>
      </w:r>
    </w:p>
    <w:p>
      <w:pPr>
        <w:pStyle w:val="dec1"/>
        <w:rPr/>
      </w:pPr>
      <w:r>
        <w:rPr/>
        <w:t>2.3.</w:t>
        <w:tab/>
        <w:t xml:space="preserve">The number of megawatts of interruptible power subscribed by customer type for each year in the last 10 years (e.g., schools, hospitals, small retail, large retail, small manufacturing, large manufacturing).  Respondents shall confer to determine a uniform customer type reporting system for this information. </w:t>
      </w:r>
    </w:p>
    <w:p>
      <w:pPr>
        <w:pStyle w:val="main"/>
        <w:ind w:start="720" w:end="0"/>
        <w:jc w:val="start"/>
        <w:rPr>
          <w:rFonts w:ascii="PALATINO;Book Antiqua" w:hAnsi="PALATINO;Book Antiqua" w:cs="PALATINO;Book Antiqua"/>
          <w:b w:val="false"/>
        </w:rPr>
      </w:pPr>
      <w:r>
        <w:rPr>
          <w:rFonts w:cs="PALATINO;Book Antiqua" w:ascii="PALATINO;Book Antiqua" w:hAnsi="PALATINO;Book Antiqua"/>
          <w:b w:val="false"/>
        </w:rPr>
      </w:r>
    </w:p>
    <w:p>
      <w:pPr>
        <w:pStyle w:val="dec1"/>
        <w:numPr>
          <w:ilvl w:val="1"/>
          <w:numId w:val="2"/>
        </w:numPr>
        <w:rPr/>
      </w:pPr>
      <w:r>
        <w:rPr/>
        <w:t>A detailed description of the process used to determine which customers will be notified for curtailment/interruption at each stage of alert.</w:t>
      </w:r>
    </w:p>
    <w:p>
      <w:pPr>
        <w:pStyle w:val="dec1"/>
        <w:ind w:hanging="0" w:start="0" w:end="0"/>
        <w:rPr/>
      </w:pPr>
      <w:r>
        <w:rPr/>
      </w:r>
    </w:p>
    <w:p>
      <w:pPr>
        <w:pStyle w:val="dec1"/>
        <w:numPr>
          <w:ilvl w:val="1"/>
          <w:numId w:val="2"/>
        </w:numPr>
        <w:rPr/>
      </w:pPr>
      <w:r>
        <w:rPr/>
        <w:t>A copy of any standard interruptible agreement used with customers, or a sample of typical agreements.</w:t>
      </w:r>
      <w:r>
        <w:br w:type="page"/>
      </w:r>
    </w:p>
    <w:p>
      <w:pPr>
        <w:pStyle w:val="main"/>
        <w:jc w:val="start"/>
        <w:rPr/>
      </w:pPr>
      <w:r>
        <w:rPr/>
        <w:t>3.</w:t>
        <w:tab/>
        <w:t>Respondent CAISO</w:t>
      </w:r>
    </w:p>
    <w:p>
      <w:pPr>
        <w:pStyle w:val="main"/>
        <w:jc w:val="start"/>
        <w:rPr>
          <w:rFonts w:ascii="PALATINO;Book Antiqua" w:hAnsi="PALATINO;Book Antiqua" w:cs="PALATINO;Book Antiqua"/>
          <w:b w:val="false"/>
        </w:rPr>
      </w:pPr>
      <w:r>
        <w:rPr>
          <w:rFonts w:cs="PALATINO;Book Antiqua" w:ascii="PALATINO;Book Antiqua" w:hAnsi="PALATINO;Book Antiqua"/>
          <w:b w:val="false"/>
        </w:rPr>
      </w:r>
    </w:p>
    <w:p>
      <w:pPr>
        <w:pStyle w:val="block1"/>
        <w:rPr/>
      </w:pPr>
      <w:r>
        <w:rPr/>
        <w:t xml:space="preserve">Shall provide the following data, or copies of the following items, by Friday, December 15, 2000 to ALJ Mattson, James Hendry, and 3 copies to Energy Division.  CAISO shall also provide a copy to any party on the service list at the request of that party. </w:t>
      </w:r>
    </w:p>
    <w:p>
      <w:pPr>
        <w:pStyle w:val="main"/>
        <w:jc w:val="start"/>
        <w:rPr>
          <w:rFonts w:ascii="PALATINO;Book Antiqua" w:hAnsi="PALATINO;Book Antiqua" w:cs="PALATINO;Book Antiqua"/>
        </w:rPr>
      </w:pPr>
      <w:r>
        <w:rPr>
          <w:rFonts w:cs="PALATINO;Book Antiqua" w:ascii="PALATINO;Book Antiqua" w:hAnsi="PALATINO;Book Antiqua"/>
        </w:rPr>
      </w:r>
    </w:p>
    <w:p>
      <w:pPr>
        <w:pStyle w:val="31"/>
        <w:rPr/>
      </w:pPr>
      <w:r>
        <w:rPr/>
        <w:t>3.1.</w:t>
        <w:tab/>
        <w:t>A report identifying the Stage 1, 2 and 3 alerts that have been called each day from the inception of the CAISO to the present.</w:t>
      </w:r>
    </w:p>
    <w:p>
      <w:pPr>
        <w:pStyle w:val="main"/>
        <w:ind w:start="720" w:end="0"/>
        <w:jc w:val="start"/>
        <w:rPr>
          <w:rFonts w:ascii="PALATINO;Book Antiqua" w:hAnsi="PALATINO;Book Antiqua" w:cs="PALATINO;Book Antiqua"/>
          <w:b w:val="false"/>
        </w:rPr>
      </w:pPr>
      <w:r>
        <w:rPr>
          <w:rFonts w:cs="PALATINO;Book Antiqua" w:ascii="PALATINO;Book Antiqua" w:hAnsi="PALATINO;Book Antiqua"/>
          <w:b w:val="false"/>
        </w:rPr>
      </w:r>
    </w:p>
    <w:p>
      <w:pPr>
        <w:pStyle w:val="31"/>
        <w:rPr/>
      </w:pPr>
      <w:r>
        <w:rPr/>
        <w:t>3.2</w:t>
        <w:tab/>
        <w:t>For each alert, an explanation, if any, of the significant cause or causes for the alert.  For each cause, the resulting approximate change in supply or demand.  For example, alerts called in November 2000 may in large part be the result of inadequate supply caused by the outages of PG&amp;E and Edison nuclear power plants totaling about 3500 MW.  They may also in large part be the result of unusually high demand of, for example, 1000 MW above forecast caused by unseasonably cold weather.  Other alerts may largely be caused by transmission outages or derates, or lower than normal levels of imports from the Northwest of Southwest.</w:t>
      </w:r>
      <w:r>
        <w:br w:type="page"/>
      </w:r>
    </w:p>
    <w:p>
      <w:pPr>
        <w:pStyle w:val="H-1"/>
        <w:rPr>
          <w:b/>
        </w:rPr>
      </w:pPr>
      <w:r>
        <w:rPr>
          <w:b/>
        </w:rPr>
      </w:r>
    </w:p>
    <w:p>
      <w:pPr>
        <w:pStyle w:val="H-1"/>
        <w:rPr>
          <w:b/>
        </w:rPr>
      </w:pPr>
      <w:r>
        <w:rPr>
          <w:b/>
        </w:rPr>
        <w:t>4.</w:t>
        <w:tab/>
        <w:t xml:space="preserve">Respondent PG&amp;E </w:t>
      </w:r>
    </w:p>
    <w:p>
      <w:pPr>
        <w:pStyle w:val="main"/>
        <w:ind w:start="720" w:end="0"/>
        <w:jc w:val="start"/>
        <w:rPr>
          <w:rFonts w:ascii="PALATINO;Book Antiqua" w:hAnsi="PALATINO;Book Antiqua" w:cs="PALATINO;Book Antiqua"/>
          <w:b w:val="false"/>
        </w:rPr>
      </w:pPr>
      <w:r>
        <w:rPr>
          <w:rFonts w:cs="PALATINO;Book Antiqua" w:ascii="PALATINO;Book Antiqua" w:hAnsi="PALATINO;Book Antiqua"/>
          <w:b w:val="false"/>
        </w:rPr>
      </w:r>
    </w:p>
    <w:p>
      <w:pPr>
        <w:pStyle w:val="block1"/>
        <w:rPr/>
      </w:pPr>
      <w:r>
        <w:rPr/>
        <w:t>Shall provide the following data, or copies of the following items, by Friday, December 8, 2000 to ALJ Mattson, with the exception of Item 4.8.  Copies shall also be provided to James Hendry, and 3 copies to Energy Division, to the extent not already provided. Item 4.8 shall be provided by Friday, December 15, 2000.  PG&amp;E shall also provide a copy to any party on the service list at the request of that party.</w:t>
      </w:r>
    </w:p>
    <w:p>
      <w:pPr>
        <w:pStyle w:val="main"/>
        <w:jc w:val="start"/>
        <w:rPr>
          <w:rFonts w:ascii="PALATINO;Book Antiqua" w:hAnsi="PALATINO;Book Antiqua" w:cs="PALATINO;Book Antiqua"/>
          <w:b w:val="false"/>
        </w:rPr>
      </w:pPr>
      <w:r>
        <w:rPr>
          <w:rFonts w:cs="PALATINO;Book Antiqua" w:ascii="PALATINO;Book Antiqua" w:hAnsi="PALATINO;Book Antiqua"/>
          <w:b w:val="false"/>
        </w:rPr>
      </w:r>
    </w:p>
    <w:p>
      <w:pPr>
        <w:pStyle w:val="41"/>
        <w:rPr>
          <w:b w:val="false"/>
        </w:rPr>
      </w:pPr>
      <w:r>
        <w:rPr>
          <w:b w:val="false"/>
        </w:rPr>
        <w:t>4.1.</w:t>
        <w:tab/>
        <w:t>Advice Letter (AL) 2008-E</w:t>
      </w:r>
    </w:p>
    <w:p>
      <w:pPr>
        <w:pStyle w:val="main"/>
        <w:ind w:start="720" w:end="0"/>
        <w:jc w:val="start"/>
        <w:rPr>
          <w:rFonts w:ascii="PALATINO;Book Antiqua" w:hAnsi="PALATINO;Book Antiqua" w:cs="PALATINO;Book Antiqua"/>
          <w:b w:val="false"/>
        </w:rPr>
      </w:pPr>
      <w:r>
        <w:rPr>
          <w:rFonts w:cs="PALATINO;Book Antiqua" w:ascii="PALATINO;Book Antiqua" w:hAnsi="PALATINO;Book Antiqua"/>
          <w:b w:val="false"/>
        </w:rPr>
      </w:r>
    </w:p>
    <w:p>
      <w:pPr>
        <w:pStyle w:val="41"/>
        <w:rPr>
          <w:b w:val="false"/>
        </w:rPr>
      </w:pPr>
      <w:r>
        <w:rPr>
          <w:b w:val="false"/>
        </w:rPr>
        <w:t>4.2.</w:t>
        <w:tab/>
        <w:t>AL 2019-E</w:t>
      </w:r>
    </w:p>
    <w:p>
      <w:pPr>
        <w:pStyle w:val="main"/>
        <w:ind w:start="720" w:end="0"/>
        <w:jc w:val="start"/>
        <w:rPr>
          <w:rFonts w:ascii="PALATINO;Book Antiqua" w:hAnsi="PALATINO;Book Antiqua" w:cs="PALATINO;Book Antiqua"/>
          <w:b w:val="false"/>
        </w:rPr>
      </w:pPr>
      <w:r>
        <w:rPr>
          <w:rFonts w:cs="PALATINO;Book Antiqua" w:ascii="PALATINO;Book Antiqua" w:hAnsi="PALATINO;Book Antiqua"/>
          <w:b w:val="false"/>
        </w:rPr>
      </w:r>
    </w:p>
    <w:p>
      <w:pPr>
        <w:pStyle w:val="41"/>
        <w:rPr>
          <w:b w:val="false"/>
        </w:rPr>
      </w:pPr>
      <w:r>
        <w:rPr>
          <w:b w:val="false"/>
        </w:rPr>
        <w:t>4.3.</w:t>
        <w:tab/>
        <w:t>AL 2020-E</w:t>
      </w:r>
    </w:p>
    <w:p>
      <w:pPr>
        <w:pStyle w:val="main"/>
        <w:ind w:start="720" w:end="0"/>
        <w:jc w:val="start"/>
        <w:rPr>
          <w:rFonts w:ascii="PALATINO;Book Antiqua" w:hAnsi="PALATINO;Book Antiqua" w:cs="PALATINO;Book Antiqua"/>
          <w:b w:val="false"/>
        </w:rPr>
      </w:pPr>
      <w:r>
        <w:rPr>
          <w:rFonts w:cs="PALATINO;Book Antiqua" w:ascii="PALATINO;Book Antiqua" w:hAnsi="PALATINO;Book Antiqua"/>
          <w:b w:val="false"/>
        </w:rPr>
      </w:r>
    </w:p>
    <w:p>
      <w:pPr>
        <w:pStyle w:val="41"/>
        <w:rPr>
          <w:b w:val="false"/>
        </w:rPr>
      </w:pPr>
      <w:r>
        <w:rPr>
          <w:b w:val="false"/>
        </w:rPr>
        <w:t>4.4.</w:t>
        <w:tab/>
        <w:t>The September 15, 2000 analysis on the feasibility and cost-effectiveness of developing interruptible programs for smaller customers (Resolution E-3696, ordering paragraph 3.d., page 17.)</w:t>
      </w:r>
    </w:p>
    <w:p>
      <w:pPr>
        <w:pStyle w:val="main"/>
        <w:ind w:start="720" w:end="0"/>
        <w:jc w:val="start"/>
        <w:rPr>
          <w:rFonts w:ascii="PALATINO;Book Antiqua" w:hAnsi="PALATINO;Book Antiqua" w:cs="PALATINO;Book Antiqua"/>
          <w:b w:val="false"/>
        </w:rPr>
      </w:pPr>
      <w:r>
        <w:rPr>
          <w:rFonts w:cs="PALATINO;Book Antiqua" w:ascii="PALATINO;Book Antiqua" w:hAnsi="PALATINO;Book Antiqua"/>
          <w:b w:val="false"/>
        </w:rPr>
      </w:r>
    </w:p>
    <w:p>
      <w:pPr>
        <w:pStyle w:val="41"/>
        <w:rPr>
          <w:b w:val="false"/>
        </w:rPr>
      </w:pPr>
      <w:r>
        <w:rPr>
          <w:b w:val="false"/>
        </w:rPr>
        <w:t>4.5.</w:t>
        <w:tab/>
        <w:t xml:space="preserve">The November 15, 2000 Report on Summer 2000 Demand Responsiveness Programs (Resolution E-3650, page 32.) </w:t>
      </w:r>
    </w:p>
    <w:p>
      <w:pPr>
        <w:pStyle w:val="main"/>
        <w:ind w:start="720" w:end="0"/>
        <w:jc w:val="start"/>
        <w:rPr>
          <w:rFonts w:ascii="PALATINO;Book Antiqua" w:hAnsi="PALATINO;Book Antiqua" w:cs="PALATINO;Book Antiqua"/>
          <w:b w:val="false"/>
        </w:rPr>
      </w:pPr>
      <w:r>
        <w:rPr>
          <w:rFonts w:cs="PALATINO;Book Antiqua" w:ascii="PALATINO;Book Antiqua" w:hAnsi="PALATINO;Book Antiqua"/>
          <w:b w:val="false"/>
        </w:rPr>
      </w:r>
    </w:p>
    <w:p>
      <w:pPr>
        <w:pStyle w:val="41"/>
        <w:rPr>
          <w:b w:val="false"/>
        </w:rPr>
      </w:pPr>
      <w:r>
        <w:rPr>
          <w:b w:val="false"/>
        </w:rPr>
        <w:t>4.6.</w:t>
        <w:tab/>
        <w:t>Any other report or reports required by Resolution E-3650 (now available, or when available)</w:t>
      </w:r>
    </w:p>
    <w:p>
      <w:pPr>
        <w:pStyle w:val="main"/>
        <w:ind w:start="720" w:end="0"/>
        <w:jc w:val="start"/>
        <w:rPr>
          <w:rFonts w:ascii="PALATINO;Book Antiqua" w:hAnsi="PALATINO;Book Antiqua" w:cs="PALATINO;Book Antiqua"/>
          <w:b w:val="false"/>
        </w:rPr>
      </w:pPr>
      <w:r>
        <w:rPr>
          <w:rFonts w:cs="PALATINO;Book Antiqua" w:ascii="PALATINO;Book Antiqua" w:hAnsi="PALATINO;Book Antiqua"/>
          <w:b w:val="false"/>
        </w:rPr>
      </w:r>
    </w:p>
    <w:p>
      <w:pPr>
        <w:pStyle w:val="41"/>
        <w:rPr>
          <w:b w:val="false"/>
        </w:rPr>
      </w:pPr>
      <w:r>
        <w:rPr>
          <w:b w:val="false"/>
        </w:rPr>
        <w:t>4.7.</w:t>
        <w:tab/>
        <w:t>A copy of existing reports on the E-BID program, explaining what it is and how it has operated (to the extent not covered in 1.1. above).</w:t>
      </w:r>
    </w:p>
    <w:p>
      <w:pPr>
        <w:pStyle w:val="main"/>
        <w:ind w:start="720" w:end="0"/>
        <w:jc w:val="start"/>
        <w:rPr>
          <w:rFonts w:ascii="PALATINO;Book Antiqua" w:hAnsi="PALATINO;Book Antiqua" w:cs="PALATINO;Book Antiqua"/>
          <w:b w:val="false"/>
        </w:rPr>
      </w:pPr>
      <w:r>
        <w:rPr>
          <w:rFonts w:cs="PALATINO;Book Antiqua" w:ascii="PALATINO;Book Antiqua" w:hAnsi="PALATINO;Book Antiqua"/>
          <w:b w:val="false"/>
        </w:rPr>
      </w:r>
    </w:p>
    <w:p>
      <w:pPr>
        <w:pStyle w:val="41"/>
        <w:rPr>
          <w:b w:val="false"/>
        </w:rPr>
      </w:pPr>
      <w:r>
        <w:rPr>
          <w:b w:val="false"/>
        </w:rPr>
        <w:t>4.8.</w:t>
        <w:tab/>
        <w:t>The number of customers that elected to opt-out of PG&amp;E interruptible programs during the opt-out window in November 2000.</w:t>
      </w:r>
    </w:p>
    <w:p>
      <w:pPr>
        <w:pStyle w:val="main"/>
        <w:ind w:start="720" w:end="0"/>
        <w:jc w:val="start"/>
        <w:rPr>
          <w:rFonts w:ascii="PALATINO;Book Antiqua" w:hAnsi="PALATINO;Book Antiqua" w:cs="PALATINO;Book Antiqua"/>
          <w:b w:val="false"/>
        </w:rPr>
      </w:pPr>
      <w:r>
        <w:rPr>
          <w:rFonts w:cs="PALATINO;Book Antiqua" w:ascii="PALATINO;Book Antiqua" w:hAnsi="PALATINO;Book Antiqua"/>
          <w:b w:val="false"/>
        </w:rPr>
      </w:r>
    </w:p>
    <w:p>
      <w:pPr>
        <w:pStyle w:val="481"/>
        <w:rPr/>
      </w:pPr>
      <w:r>
        <w:rPr/>
        <w:t>4.8.1.</w:t>
        <w:tab/>
        <w:t>The correlated number of megawatts</w:t>
      </w:r>
    </w:p>
    <w:p>
      <w:pPr>
        <w:pStyle w:val="481"/>
        <w:rPr/>
      </w:pPr>
      <w:r>
        <w:rPr/>
        <w:t>4.8.2.</w:t>
        <w:tab/>
        <w:t>A summary by customer type (e.g., school, hospital, small retail, large retail, small manufacturing, large manufacturing)</w:t>
      </w:r>
      <w:r>
        <w:br w:type="page"/>
      </w:r>
    </w:p>
    <w:p>
      <w:pPr>
        <w:pStyle w:val="H-1"/>
        <w:rPr>
          <w:b/>
        </w:rPr>
      </w:pPr>
      <w:r>
        <w:rPr>
          <w:b/>
        </w:rPr>
        <w:t>5.</w:t>
        <w:tab/>
        <w:t xml:space="preserve">Respondent Edison </w:t>
      </w:r>
    </w:p>
    <w:p>
      <w:pPr>
        <w:pStyle w:val="main"/>
        <w:keepNext w:val="true"/>
        <w:keepLines/>
        <w:jc w:val="start"/>
        <w:rPr>
          <w:rFonts w:ascii="PALATINO;Book Antiqua" w:hAnsi="PALATINO;Book Antiqua" w:cs="PALATINO;Book Antiqua"/>
          <w:b w:val="false"/>
        </w:rPr>
      </w:pPr>
      <w:r>
        <w:rPr>
          <w:rFonts w:cs="PALATINO;Book Antiqua" w:ascii="PALATINO;Book Antiqua" w:hAnsi="PALATINO;Book Antiqua"/>
          <w:b w:val="false"/>
        </w:rPr>
      </w:r>
    </w:p>
    <w:p>
      <w:pPr>
        <w:pStyle w:val="block1"/>
        <w:keepNext w:val="true"/>
        <w:keepLines/>
        <w:rPr/>
      </w:pPr>
      <w:r>
        <w:rPr/>
        <w:t>Shall provide the following data, or copies of the following items, by Friday, December 8, 2000 to ALJ Mattson, with the exception of Item 5.6.  Copies shall also be provided to James Hendry, and 3 copies to Energy Division, to the extent not already provided.  Item 5.6 shall be provided on Friday, December 15, 2000.  Edison shall also provide a copy to any party on the service list at the request of that party.</w:t>
      </w:r>
    </w:p>
    <w:p>
      <w:pPr>
        <w:pStyle w:val="main"/>
        <w:jc w:val="start"/>
        <w:rPr>
          <w:rFonts w:ascii="PALATINO;Book Antiqua" w:hAnsi="PALATINO;Book Antiqua" w:cs="PALATINO;Book Antiqua"/>
          <w:b w:val="false"/>
        </w:rPr>
      </w:pPr>
      <w:r>
        <w:rPr>
          <w:rFonts w:cs="PALATINO;Book Antiqua" w:ascii="PALATINO;Book Antiqua" w:hAnsi="PALATINO;Book Antiqua"/>
          <w:b w:val="false"/>
        </w:rPr>
      </w:r>
    </w:p>
    <w:p>
      <w:pPr>
        <w:pStyle w:val="51"/>
        <w:rPr/>
      </w:pPr>
      <w:r>
        <w:rPr/>
        <w:t>5.1.</w:t>
        <w:tab/>
        <w:t>AL 1457-E</w:t>
      </w:r>
    </w:p>
    <w:p>
      <w:pPr>
        <w:pStyle w:val="main"/>
        <w:ind w:start="720" w:end="0"/>
        <w:jc w:val="start"/>
        <w:rPr>
          <w:rFonts w:ascii="PALATINO;Book Antiqua" w:hAnsi="PALATINO;Book Antiqua" w:cs="PALATINO;Book Antiqua"/>
          <w:b w:val="false"/>
        </w:rPr>
      </w:pPr>
      <w:r>
        <w:rPr>
          <w:rFonts w:cs="PALATINO;Book Antiqua" w:ascii="PALATINO;Book Antiqua" w:hAnsi="PALATINO;Book Antiqua"/>
          <w:b w:val="false"/>
        </w:rPr>
      </w:r>
    </w:p>
    <w:p>
      <w:pPr>
        <w:pStyle w:val="51"/>
        <w:rPr/>
      </w:pPr>
      <w:r>
        <w:rPr/>
        <w:t>5.2.</w:t>
        <w:tab/>
        <w:t>AL 1479-E</w:t>
      </w:r>
    </w:p>
    <w:p>
      <w:pPr>
        <w:pStyle w:val="main"/>
        <w:ind w:start="720" w:end="0"/>
        <w:jc w:val="start"/>
        <w:rPr>
          <w:rFonts w:ascii="PALATINO;Book Antiqua" w:hAnsi="PALATINO;Book Antiqua" w:cs="PALATINO;Book Antiqua"/>
          <w:b w:val="false"/>
        </w:rPr>
      </w:pPr>
      <w:r>
        <w:rPr>
          <w:rFonts w:cs="PALATINO;Book Antiqua" w:ascii="PALATINO;Book Antiqua" w:hAnsi="PALATINO;Book Antiqua"/>
          <w:b w:val="false"/>
        </w:rPr>
      </w:r>
    </w:p>
    <w:p>
      <w:pPr>
        <w:pStyle w:val="51"/>
        <w:rPr/>
      </w:pPr>
      <w:r>
        <w:rPr/>
        <w:t>5.3.</w:t>
        <w:tab/>
        <w:t>The September 15, 2000 analysis on the feasibility and cost-effectiveness of developing interruptible programs for smaller customers (Resolution E-3689, ordering paragraph 3.d., page 32.)</w:t>
      </w:r>
    </w:p>
    <w:p>
      <w:pPr>
        <w:pStyle w:val="main"/>
        <w:ind w:start="720" w:end="0"/>
        <w:jc w:val="start"/>
        <w:rPr>
          <w:rFonts w:ascii="PALATINO;Book Antiqua" w:hAnsi="PALATINO;Book Antiqua" w:cs="PALATINO;Book Antiqua"/>
          <w:b w:val="false"/>
        </w:rPr>
      </w:pPr>
      <w:r>
        <w:rPr>
          <w:rFonts w:cs="PALATINO;Book Antiqua" w:ascii="PALATINO;Book Antiqua" w:hAnsi="PALATINO;Book Antiqua"/>
          <w:b w:val="false"/>
        </w:rPr>
      </w:r>
    </w:p>
    <w:p>
      <w:pPr>
        <w:pStyle w:val="51"/>
        <w:rPr/>
      </w:pPr>
      <w:r>
        <w:rPr/>
        <w:t>5.4.</w:t>
        <w:tab/>
        <w:t xml:space="preserve">The November 15, 2000 Report on Summer 2000 Demand Responsiveness Programs (Resolution E-3650, page 32.)  </w:t>
      </w:r>
    </w:p>
    <w:p>
      <w:pPr>
        <w:pStyle w:val="main"/>
        <w:ind w:start="720" w:end="0"/>
        <w:jc w:val="start"/>
        <w:rPr>
          <w:rFonts w:ascii="PALATINO;Book Antiqua" w:hAnsi="PALATINO;Book Antiqua" w:cs="PALATINO;Book Antiqua"/>
          <w:b w:val="false"/>
        </w:rPr>
      </w:pPr>
      <w:r>
        <w:rPr>
          <w:rFonts w:cs="PALATINO;Book Antiqua" w:ascii="PALATINO;Book Antiqua" w:hAnsi="PALATINO;Book Antiqua"/>
          <w:b w:val="false"/>
        </w:rPr>
      </w:r>
    </w:p>
    <w:p>
      <w:pPr>
        <w:pStyle w:val="51"/>
        <w:rPr/>
      </w:pPr>
      <w:r>
        <w:rPr/>
        <w:t>5.5.</w:t>
        <w:tab/>
        <w:t>Any other report or reports required by Resolution E-3650 (now available, or when available)</w:t>
      </w:r>
    </w:p>
    <w:p>
      <w:pPr>
        <w:pStyle w:val="main"/>
        <w:ind w:start="720" w:end="0"/>
        <w:jc w:val="start"/>
        <w:rPr>
          <w:rFonts w:ascii="PALATINO;Book Antiqua" w:hAnsi="PALATINO;Book Antiqua" w:cs="PALATINO;Book Antiqua"/>
          <w:b w:val="false"/>
        </w:rPr>
      </w:pPr>
      <w:r>
        <w:rPr>
          <w:rFonts w:cs="PALATINO;Book Antiqua" w:ascii="PALATINO;Book Antiqua" w:hAnsi="PALATINO;Book Antiqua"/>
          <w:b w:val="false"/>
        </w:rPr>
      </w:r>
    </w:p>
    <w:p>
      <w:pPr>
        <w:pStyle w:val="51"/>
        <w:rPr/>
      </w:pPr>
      <w:r>
        <w:rPr/>
        <w:t>5.6.</w:t>
        <w:tab/>
        <w:t>The number of customers eligible to opt-out of Edison’s interruptible programs in April 2001 (e.g., those that started on such tariffs after January 1, 1998).</w:t>
      </w:r>
    </w:p>
    <w:p>
      <w:pPr>
        <w:pStyle w:val="main"/>
        <w:ind w:start="720" w:end="0"/>
        <w:jc w:val="start"/>
        <w:rPr>
          <w:rFonts w:ascii="PALATINO;Book Antiqua" w:hAnsi="PALATINO;Book Antiqua" w:cs="PALATINO;Book Antiqua"/>
          <w:b w:val="false"/>
        </w:rPr>
      </w:pPr>
      <w:r>
        <w:rPr>
          <w:rFonts w:cs="PALATINO;Book Antiqua" w:ascii="PALATINO;Book Antiqua" w:hAnsi="PALATINO;Book Antiqua"/>
          <w:b w:val="false"/>
        </w:rPr>
      </w:r>
    </w:p>
    <w:p>
      <w:pPr>
        <w:pStyle w:val="561"/>
        <w:rPr/>
      </w:pPr>
      <w:r>
        <w:rPr/>
        <w:t>5.6.1.</w:t>
        <w:tab/>
        <w:t>The correlated number of megawatts</w:t>
      </w:r>
    </w:p>
    <w:p>
      <w:pPr>
        <w:pStyle w:val="561"/>
        <w:rPr/>
      </w:pPr>
      <w:r>
        <w:rPr/>
        <w:t>5.6.2.</w:t>
        <w:tab/>
        <w:t>A summary by customer type (e.g., school, hospital, small retail, large retail, small manufacturing, large manufacturing)</w:t>
      </w:r>
    </w:p>
    <w:p>
      <w:pPr>
        <w:pStyle w:val="main"/>
        <w:jc w:val="start"/>
        <w:rPr>
          <w:rFonts w:ascii="PALATINO;Book Antiqua" w:hAnsi="PALATINO;Book Antiqua" w:cs="PALATINO;Book Antiqua"/>
          <w:b w:val="false"/>
        </w:rPr>
      </w:pPr>
      <w:r>
        <w:rPr>
          <w:rFonts w:cs="PALATINO;Book Antiqua" w:ascii="PALATINO;Book Antiqua" w:hAnsi="PALATINO;Book Antiqua"/>
          <w:b w:val="false"/>
        </w:rPr>
      </w:r>
      <w:r>
        <w:br w:type="page"/>
      </w:r>
    </w:p>
    <w:p>
      <w:pPr>
        <w:pStyle w:val="H-1"/>
        <w:rPr>
          <w:b/>
        </w:rPr>
      </w:pPr>
      <w:r>
        <w:rPr>
          <w:b/>
        </w:rPr>
        <w:t>6.</w:t>
        <w:tab/>
        <w:t xml:space="preserve">Respondent SDG&amp;E </w:t>
      </w:r>
    </w:p>
    <w:p>
      <w:pPr>
        <w:pStyle w:val="main"/>
        <w:jc w:val="start"/>
        <w:rPr>
          <w:rFonts w:ascii="PALATINO;Book Antiqua" w:hAnsi="PALATINO;Book Antiqua" w:cs="PALATINO;Book Antiqua"/>
          <w:b w:val="false"/>
        </w:rPr>
      </w:pPr>
      <w:r>
        <w:rPr>
          <w:rFonts w:cs="PALATINO;Book Antiqua" w:ascii="PALATINO;Book Antiqua" w:hAnsi="PALATINO;Book Antiqua"/>
          <w:b w:val="false"/>
        </w:rPr>
      </w:r>
    </w:p>
    <w:p>
      <w:pPr>
        <w:pStyle w:val="block1"/>
        <w:rPr/>
      </w:pPr>
      <w:r>
        <w:rPr/>
        <w:t>Shall provide the following data, or copies of the following items, by Friday, December 8, 2000 to ALJ Mattson, except Item 6.2.  Copies shall also be provided to James Hendry, and 3 copies to Energy Division, to the extent no already provided.  Item 6.2 shall be provided by Friday, December 15, 2000.  SDG&amp;E shall also provide a copy to any party on the service list at the request of that party.</w:t>
      </w:r>
    </w:p>
    <w:p>
      <w:pPr>
        <w:pStyle w:val="main"/>
        <w:jc w:val="start"/>
        <w:rPr>
          <w:rFonts w:ascii="PALATINO;Book Antiqua" w:hAnsi="PALATINO;Book Antiqua" w:cs="PALATINO;Book Antiqua"/>
        </w:rPr>
      </w:pPr>
      <w:r>
        <w:rPr>
          <w:rFonts w:cs="PALATINO;Book Antiqua" w:ascii="PALATINO;Book Antiqua" w:hAnsi="PALATINO;Book Antiqua"/>
        </w:rPr>
      </w:r>
    </w:p>
    <w:p>
      <w:pPr>
        <w:pStyle w:val="612"/>
        <w:rPr/>
      </w:pPr>
      <w:r>
        <w:rPr/>
        <w:t>6.1.</w:t>
        <w:tab/>
        <w:t>A copy of any filed and pending Advice Letter dealing with interruptible, curtailable, and demand responsiveness programs not covered in the response to item 1.1 above.</w:t>
      </w:r>
    </w:p>
    <w:p>
      <w:pPr>
        <w:pStyle w:val="main"/>
        <w:ind w:start="720" w:end="0"/>
        <w:jc w:val="start"/>
        <w:rPr>
          <w:rFonts w:ascii="PALATINO;Book Antiqua" w:hAnsi="PALATINO;Book Antiqua" w:cs="PALATINO;Book Antiqua"/>
          <w:b w:val="false"/>
        </w:rPr>
      </w:pPr>
      <w:r>
        <w:rPr>
          <w:rFonts w:cs="PALATINO;Book Antiqua" w:ascii="PALATINO;Book Antiqua" w:hAnsi="PALATINO;Book Antiqua"/>
          <w:b w:val="false"/>
        </w:rPr>
      </w:r>
    </w:p>
    <w:p>
      <w:pPr>
        <w:pStyle w:val="612"/>
        <w:rPr/>
      </w:pPr>
      <w:r>
        <w:rPr/>
        <w:t>6.2.</w:t>
        <w:tab/>
        <w:t>The number of customers that elected to opt-out of SDG&amp;E interruptible programs during the opt-out window in November 2000.</w:t>
      </w:r>
    </w:p>
    <w:p>
      <w:pPr>
        <w:pStyle w:val="main"/>
        <w:ind w:start="720" w:end="0"/>
        <w:jc w:val="start"/>
        <w:rPr>
          <w:rFonts w:ascii="PALATINO;Book Antiqua" w:hAnsi="PALATINO;Book Antiqua" w:cs="PALATINO;Book Antiqua"/>
          <w:b w:val="false"/>
        </w:rPr>
      </w:pPr>
      <w:r>
        <w:rPr>
          <w:rFonts w:cs="PALATINO;Book Antiqua" w:ascii="PALATINO;Book Antiqua" w:hAnsi="PALATINO;Book Antiqua"/>
          <w:b w:val="false"/>
        </w:rPr>
      </w:r>
    </w:p>
    <w:p>
      <w:pPr>
        <w:pStyle w:val="561"/>
        <w:rPr/>
      </w:pPr>
      <w:r>
        <w:rPr/>
        <w:t>6.2.1.</w:t>
        <w:tab/>
        <w:t>The correlated number of megawatts</w:t>
      </w:r>
    </w:p>
    <w:p>
      <w:pPr>
        <w:pStyle w:val="561"/>
        <w:rPr/>
      </w:pPr>
      <w:r>
        <w:rPr/>
        <w:t>6.2.2.</w:t>
        <w:tab/>
        <w:t>A summary by customer type (e.g., school, hospital, small retail, large retail, small manufacturing, large manufacturing)</w:t>
      </w:r>
    </w:p>
    <w:p>
      <w:pPr>
        <w:pStyle w:val="main"/>
        <w:jc w:val="start"/>
        <w:rPr>
          <w:rFonts w:ascii="PALATINO;Book Antiqua" w:hAnsi="PALATINO;Book Antiqua" w:cs="PALATINO;Book Antiqua"/>
          <w:b w:val="false"/>
        </w:rPr>
      </w:pPr>
      <w:r>
        <w:rPr>
          <w:rFonts w:cs="PALATINO;Book Antiqua" w:ascii="PALATINO;Book Antiqua" w:hAnsi="PALATINO;Book Antiqua"/>
          <w:b w:val="false"/>
        </w:rPr>
      </w:r>
      <w:r>
        <w:br w:type="page"/>
      </w:r>
    </w:p>
    <w:p>
      <w:pPr>
        <w:pStyle w:val="H-1"/>
        <w:rPr>
          <w:b/>
        </w:rPr>
      </w:pPr>
      <w:r>
        <w:rPr>
          <w:b/>
        </w:rPr>
        <w:t>7.</w:t>
        <w:tab/>
        <w:t>Each Appearance (Respondent and Party)</w:t>
      </w:r>
    </w:p>
    <w:p>
      <w:pPr>
        <w:pStyle w:val="main"/>
        <w:ind w:firstLine="720" w:end="0"/>
        <w:jc w:val="start"/>
        <w:rPr>
          <w:rFonts w:ascii="PALATINO;Book Antiqua" w:hAnsi="PALATINO;Book Antiqua" w:cs="PALATINO;Book Antiqua"/>
          <w:b w:val="false"/>
        </w:rPr>
      </w:pPr>
      <w:r>
        <w:rPr>
          <w:rFonts w:cs="PALATINO;Book Antiqua" w:ascii="PALATINO;Book Antiqua" w:hAnsi="PALATINO;Book Antiqua"/>
          <w:b w:val="false"/>
        </w:rPr>
      </w:r>
    </w:p>
    <w:p>
      <w:pPr>
        <w:pStyle w:val="block1"/>
        <w:rPr/>
      </w:pPr>
      <w:r>
        <w:rPr/>
        <w:t xml:space="preserve">Shall provide the following data, or copies of the following items, by Friday, December 15, 2000 to ALJ Mattson, James Hendry, and 3 copies to Energy Division.  Each respondent, party and appearance shall also provide a copy to any party on the service list at the request of that party.  Respondents shall each submit a report in response to the following questions, and shall conduct necessary research from their customers to provide a reasonable and responsible answer.  Other appearances may coordinate to present one report, or a limited number of reports, in response to the following questions.  </w:t>
      </w:r>
    </w:p>
    <w:p>
      <w:pPr>
        <w:pStyle w:val="main"/>
        <w:jc w:val="start"/>
        <w:rPr>
          <w:rFonts w:ascii="PALATINO;Book Antiqua" w:hAnsi="PALATINO;Book Antiqua" w:cs="PALATINO;Book Antiqua"/>
        </w:rPr>
      </w:pPr>
      <w:r>
        <w:rPr>
          <w:rFonts w:cs="PALATINO;Book Antiqua" w:ascii="PALATINO;Book Antiqua" w:hAnsi="PALATINO;Book Antiqua"/>
        </w:rPr>
      </w:r>
    </w:p>
    <w:p>
      <w:pPr>
        <w:pStyle w:val="612"/>
        <w:rPr/>
      </w:pPr>
      <w:r>
        <w:rPr/>
        <w:t>7.1.</w:t>
        <w:tab/>
        <w:t xml:space="preserve">Insurance: </w:t>
      </w:r>
    </w:p>
    <w:p>
      <w:pPr>
        <w:pStyle w:val="main"/>
        <w:ind w:firstLine="720" w:start="720" w:end="0"/>
        <w:jc w:val="start"/>
        <w:rPr>
          <w:rFonts w:ascii="PALATINO;Book Antiqua" w:hAnsi="PALATINO;Book Antiqua" w:cs="PALATINO;Book Antiqua"/>
          <w:b w:val="false"/>
        </w:rPr>
      </w:pPr>
      <w:r>
        <w:rPr>
          <w:rFonts w:cs="PALATINO;Book Antiqua" w:ascii="PALATINO;Book Antiqua" w:hAnsi="PALATINO;Book Antiqua"/>
          <w:b w:val="false"/>
        </w:rPr>
      </w:r>
    </w:p>
    <w:p>
      <w:pPr>
        <w:pStyle w:val="711"/>
        <w:numPr>
          <w:ilvl w:val="2"/>
          <w:numId w:val="1"/>
        </w:numPr>
        <w:rPr/>
      </w:pPr>
      <w:r>
        <w:rPr/>
        <w:t xml:space="preserve">Have insurers offered policies to interruptible customers that compensate those customers in whole or part for the repayment of rates and/or penalties imposed under tariff in the case of non-compliance with an interruption order?  </w:t>
      </w:r>
    </w:p>
    <w:p>
      <w:pPr>
        <w:pStyle w:val="711"/>
        <w:ind w:hanging="0" w:start="1440" w:end="0"/>
        <w:rPr/>
      </w:pPr>
      <w:r>
        <w:rPr/>
      </w:r>
    </w:p>
    <w:p>
      <w:pPr>
        <w:pStyle w:val="711"/>
        <w:numPr>
          <w:ilvl w:val="2"/>
          <w:numId w:val="1"/>
        </w:numPr>
        <w:rPr/>
      </w:pPr>
      <w:r>
        <w:rPr/>
        <w:t>If such insurance exists, what are the names of the companies that offer this insurance?</w:t>
      </w:r>
    </w:p>
    <w:p>
      <w:pPr>
        <w:pStyle w:val="711"/>
        <w:ind w:hanging="0" w:start="0" w:end="0"/>
        <w:rPr/>
      </w:pPr>
      <w:r>
        <w:rPr/>
      </w:r>
    </w:p>
    <w:p>
      <w:pPr>
        <w:pStyle w:val="711"/>
        <w:numPr>
          <w:ilvl w:val="2"/>
          <w:numId w:val="1"/>
        </w:numPr>
        <w:rPr/>
      </w:pPr>
      <w:r>
        <w:rPr/>
        <w:t>Please provide a description of this insurance product by company.</w:t>
      </w:r>
    </w:p>
    <w:p>
      <w:pPr>
        <w:pStyle w:val="711"/>
        <w:rPr/>
      </w:pPr>
      <w:r>
        <w:rPr/>
      </w:r>
    </w:p>
    <w:p>
      <w:pPr>
        <w:pStyle w:val="711"/>
        <w:rPr/>
      </w:pPr>
      <w:r>
        <w:rPr/>
        <w:t>7.1.4.</w:t>
        <w:tab/>
        <w:t>What are the premiums for such insurance?</w:t>
      </w:r>
    </w:p>
    <w:p>
      <w:pPr>
        <w:pStyle w:val="main"/>
        <w:ind w:start="1440" w:end="0"/>
        <w:jc w:val="start"/>
        <w:rPr>
          <w:rFonts w:ascii="PALATINO;Book Antiqua" w:hAnsi="PALATINO;Book Antiqua" w:cs="PALATINO;Book Antiqua"/>
          <w:b w:val="false"/>
        </w:rPr>
      </w:pPr>
      <w:r>
        <w:rPr>
          <w:rFonts w:cs="PALATINO;Book Antiqua" w:ascii="PALATINO;Book Antiqua" w:hAnsi="PALATINO;Book Antiqua"/>
          <w:b w:val="false"/>
        </w:rPr>
      </w:r>
    </w:p>
    <w:p>
      <w:pPr>
        <w:pStyle w:val="711"/>
        <w:rPr/>
      </w:pPr>
      <w:r>
        <w:rPr/>
        <w:t>7.1.5.</w:t>
        <w:tab/>
        <w:t>How do the premiums compare to the customer’s liability for repaid rates, and penalty rates?</w:t>
      </w:r>
    </w:p>
    <w:p>
      <w:pPr>
        <w:pStyle w:val="main"/>
        <w:ind w:start="1440" w:end="0"/>
        <w:jc w:val="start"/>
        <w:rPr>
          <w:rFonts w:ascii="PALATINO;Book Antiqua" w:hAnsi="PALATINO;Book Antiqua" w:cs="PALATINO;Book Antiqua"/>
          <w:b w:val="false"/>
        </w:rPr>
      </w:pPr>
      <w:r>
        <w:rPr>
          <w:rFonts w:cs="PALATINO;Book Antiqua" w:ascii="PALATINO;Book Antiqua" w:hAnsi="PALATINO;Book Antiqua"/>
          <w:b w:val="false"/>
        </w:rPr>
      </w:r>
    </w:p>
    <w:p>
      <w:pPr>
        <w:pStyle w:val="711"/>
        <w:rPr/>
      </w:pPr>
      <w:r>
        <w:rPr/>
        <w:t>7.1.6.</w:t>
        <w:tab/>
        <w:t xml:space="preserve">How many customers have purchased such insurance, and for coverage of how many megawatts or megawatt-hours?   </w:t>
      </w:r>
    </w:p>
    <w:p>
      <w:pPr>
        <w:pStyle w:val="main"/>
        <w:ind w:start="720" w:end="0"/>
        <w:jc w:val="start"/>
        <w:rPr>
          <w:rFonts w:ascii="PALATINO;Book Antiqua" w:hAnsi="PALATINO;Book Antiqua" w:cs="PALATINO;Book Antiqua"/>
          <w:b w:val="false"/>
        </w:rPr>
      </w:pPr>
      <w:r>
        <w:rPr>
          <w:rFonts w:cs="PALATINO;Book Antiqua" w:ascii="PALATINO;Book Antiqua" w:hAnsi="PALATINO;Book Antiqua"/>
          <w:b w:val="false"/>
        </w:rPr>
      </w:r>
    </w:p>
    <w:p>
      <w:pPr>
        <w:pStyle w:val="612"/>
        <w:rPr/>
      </w:pPr>
      <w:r>
        <w:rPr/>
        <w:t>7.2.</w:t>
        <w:tab/>
        <w:t>Other States: A report which identifies and summarizes what each appearance understands other states are doing with interruptible, curtailable, and demand responsiveness programs. (Each report is expected to be a compilation of existing information.)</w:t>
      </w:r>
    </w:p>
    <w:sectPr>
      <w:headerReference w:type="default" r:id="rId2"/>
      <w:footerReference w:type="default" r:id="rId3"/>
      <w:type w:val="nextPage"/>
      <w:pgSz w:w="12240" w:h="15840"/>
      <w:pgMar w:left="1440" w:right="1440" w:gutter="0" w:header="72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etica">
    <w:altName w:val="Arial"/>
    <w:charset w:val="00" w:characterSet="windows-1252"/>
    <w:family w:val="swiss"/>
    <w:pitch w:val="variable"/>
  </w:font>
  <w:font w:name="PALATINO">
    <w:altName w:val="Book Antiqu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9">
              <wp:simplePos x="0" y="0"/>
              <wp:positionH relativeFrom="margin">
                <wp:align>center</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1.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txbxContent>
              </v:textbox>
              <w10:wrap type="squar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sz w:val="24"/>
      </w:rPr>
    </w:pPr>
    <w:r>
      <w:rPr>
        <w:sz w:val="24"/>
      </w:rPr>
      <w:fldChar w:fldCharType="begin"/>
    </w:r>
    <w:r>
      <w:rPr>
        <w:sz w:val="24"/>
      </w:rPr>
      <w:instrText xml:space="preserve"> DATE \@"MMMM\ d', 'yyyy" </w:instrText>
    </w:r>
    <w:r>
      <w:rPr>
        <w:sz w:val="24"/>
      </w:rPr>
      <w:fldChar w:fldCharType="separate"/>
    </w:r>
    <w:r>
      <w:rPr>
        <w:sz w:val="24"/>
      </w:rPr>
      <w:t>September 28, 2025</w:t>
    </w:r>
    <w:r>
      <w:rPr>
        <w:sz w:val="24"/>
      </w:rPr>
      <w:fldChar w:fldCharType="end"/>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7"/>
      <w:numFmt w:val="decimal"/>
      <w:lvlText w:val="%1."/>
      <w:lvlJc w:val="start"/>
      <w:pPr>
        <w:tabs>
          <w:tab w:val="num" w:pos="720"/>
        </w:tabs>
        <w:ind w:start="720" w:hanging="720"/>
      </w:pPr>
      <w:rPr/>
    </w:lvl>
    <w:lvl w:ilvl="1">
      <w:start w:val="1"/>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
      <w:lvlText w:val="%1.%2.%3.%4."/>
      <w:lvlJc w:val="start"/>
      <w:pPr>
        <w:tabs>
          <w:tab w:val="num" w:pos="3240"/>
        </w:tabs>
        <w:ind w:start="3240" w:hanging="108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6120"/>
        </w:tabs>
        <w:ind w:start="6120" w:hanging="180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2">
    <w:lvl w:ilvl="0">
      <w:start w:val="2"/>
      <w:numFmt w:val="decimal"/>
      <w:lvlText w:val="%1."/>
      <w:lvlJc w:val="start"/>
      <w:pPr>
        <w:tabs>
          <w:tab w:val="num" w:pos="720"/>
        </w:tabs>
        <w:ind w:start="720" w:hanging="720"/>
      </w:pPr>
      <w:rPr/>
    </w:lvl>
    <w:lvl w:ilvl="1">
      <w:start w:val="4"/>
      <w:numFmt w:val="decimal"/>
      <w:lvlText w:val="%1.%2."/>
      <w:lvlJc w:val="start"/>
      <w:pPr>
        <w:tabs>
          <w:tab w:val="num" w:pos="1440"/>
        </w:tabs>
        <w:ind w:start="1440" w:hanging="720"/>
      </w:pPr>
      <w:rPr/>
    </w:lvl>
    <w:lvl w:ilvl="2">
      <w:start w:val="1"/>
      <w:numFmt w:val="decimal"/>
      <w:lvlText w:val="%1.%2.%3."/>
      <w:lvlJc w:val="start"/>
      <w:pPr>
        <w:tabs>
          <w:tab w:val="num" w:pos="2160"/>
        </w:tabs>
        <w:ind w:start="2160" w:hanging="720"/>
      </w:pPr>
      <w:rPr/>
    </w:lvl>
    <w:lvl w:ilvl="3">
      <w:start w:val="1"/>
      <w:numFmt w:val="decimalZero"/>
      <w:lvlText w:val="%1.%2.%3.%4."/>
      <w:lvlJc w:val="start"/>
      <w:pPr>
        <w:tabs>
          <w:tab w:val="num" w:pos="3240"/>
        </w:tabs>
        <w:ind w:start="3240" w:hanging="1080"/>
      </w:pPr>
      <w:rPr/>
    </w:lvl>
    <w:lvl w:ilvl="4">
      <w:start w:val="1"/>
      <w:numFmt w:val="decimal"/>
      <w:lvlText w:val="%1.%2.%3.%4.%5."/>
      <w:lvlJc w:val="start"/>
      <w:pPr>
        <w:tabs>
          <w:tab w:val="num" w:pos="4320"/>
        </w:tabs>
        <w:ind w:start="4320" w:hanging="1440"/>
      </w:pPr>
      <w:rPr/>
    </w:lvl>
    <w:lvl w:ilvl="5">
      <w:start w:val="1"/>
      <w:numFmt w:val="decimal"/>
      <w:lvlText w:val="%1.%2.%3.%4.%5.%6."/>
      <w:lvlJc w:val="start"/>
      <w:pPr>
        <w:tabs>
          <w:tab w:val="num" w:pos="5040"/>
        </w:tabs>
        <w:ind w:start="5040" w:hanging="1440"/>
      </w:pPr>
      <w:rPr/>
    </w:lvl>
    <w:lvl w:ilvl="6">
      <w:start w:val="1"/>
      <w:numFmt w:val="decimal"/>
      <w:lvlText w:val="%1.%2.%3.%4.%5.%6.%7."/>
      <w:lvlJc w:val="start"/>
      <w:pPr>
        <w:tabs>
          <w:tab w:val="num" w:pos="6120"/>
        </w:tabs>
        <w:ind w:start="6120" w:hanging="1800"/>
      </w:pPr>
      <w:rPr/>
    </w:lvl>
    <w:lvl w:ilvl="7">
      <w:start w:val="1"/>
      <w:numFmt w:val="decimal"/>
      <w:lvlText w:val="%1.%2.%3.%4.%5.%6.%7.%8."/>
      <w:lvlJc w:val="start"/>
      <w:pPr>
        <w:tabs>
          <w:tab w:val="num" w:pos="6840"/>
        </w:tabs>
        <w:ind w:start="6840" w:hanging="1800"/>
      </w:pPr>
      <w:rPr/>
    </w:lvl>
    <w:lvl w:ilvl="8">
      <w:start w:val="1"/>
      <w:numFmt w:val="decimal"/>
      <w:lvlText w:val="%1.%2.%3.%4.%5.%6.%7.%8.%9."/>
      <w:lvlJc w:val="start"/>
      <w:pPr>
        <w:tabs>
          <w:tab w:val="num" w:pos="7920"/>
        </w:tabs>
        <w:ind w:start="7920" w:hanging="2160"/>
      </w:pPr>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style>
  <w:style w:type="character" w:styleId="WW8Num2z0">
    <w:name w:val="WW8Num2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main">
    <w:name w:val="main"/>
    <w:basedOn w:val="Normal"/>
    <w:qFormat/>
    <w:pPr>
      <w:jc w:val="center"/>
    </w:pPr>
    <w:rPr>
      <w:rFonts w:ascii="Helvetica;Arial" w:hAnsi="Helvetica;Arial" w:cs="Helvetica;Arial"/>
      <w:b/>
      <w:sz w:val="26"/>
    </w:rPr>
  </w:style>
  <w:style w:type="paragraph" w:styleId="H-1">
    <w:name w:val="H-1"/>
    <w:basedOn w:val="main"/>
    <w:qFormat/>
    <w:pPr>
      <w:tabs>
        <w:tab w:val="clear" w:pos="720"/>
        <w:tab w:val="left" w:pos="360" w:leader="none"/>
      </w:tabs>
      <w:jc w:val="start"/>
    </w:pPr>
    <w:rPr>
      <w:rFonts w:ascii="PALATINO;Book Antiqua" w:hAnsi="PALATINO;Book Antiqua" w:cs="PALATINO;Book Antiqua"/>
      <w:b w:val="false"/>
    </w:rPr>
  </w:style>
  <w:style w:type="paragraph" w:styleId="block1">
    <w:name w:val="block1"/>
    <w:basedOn w:val="main"/>
    <w:qFormat/>
    <w:pPr>
      <w:ind w:hanging="0" w:start="720" w:end="0"/>
      <w:jc w:val="start"/>
    </w:pPr>
    <w:rPr>
      <w:rFonts w:ascii="PALATINO;Book Antiqua" w:hAnsi="PALATINO;Book Antiqua" w:cs="PALATINO;Book Antiqua"/>
      <w:b w:val="false"/>
    </w:rPr>
  </w:style>
  <w:style w:type="paragraph" w:styleId="1g">
    <w:name w:val="1.g"/>
    <w:basedOn w:val="main"/>
    <w:qFormat/>
    <w:pPr>
      <w:tabs>
        <w:tab w:val="clear" w:pos="720"/>
        <w:tab w:val="left" w:pos="360" w:leader="none"/>
      </w:tabs>
      <w:jc w:val="start"/>
    </w:pPr>
    <w:rPr>
      <w:rFonts w:ascii="PALATINO;Book Antiqua" w:hAnsi="PALATINO;Book Antiqua" w:cs="PALATINO;Book Antiqua"/>
      <w:b w:val="false"/>
    </w:rPr>
  </w:style>
  <w:style w:type="paragraph" w:styleId="dec1">
    <w:name w:val="dec.1"/>
    <w:basedOn w:val="main"/>
    <w:qFormat/>
    <w:pPr>
      <w:ind w:hanging="720" w:start="1440" w:end="0"/>
      <w:jc w:val="start"/>
    </w:pPr>
    <w:rPr>
      <w:rFonts w:ascii="PALATINO;Book Antiqua" w:hAnsi="PALATINO;Book Antiqua" w:cs="PALATINO;Book Antiqua"/>
      <w:b w:val="false"/>
    </w:rPr>
  </w:style>
  <w:style w:type="paragraph" w:styleId="dec2">
    <w:name w:val="dec.2"/>
    <w:basedOn w:val="main"/>
    <w:qFormat/>
    <w:pPr>
      <w:tabs>
        <w:tab w:val="clear" w:pos="720"/>
        <w:tab w:val="left" w:pos="2250" w:leader="none"/>
      </w:tabs>
      <w:spacing w:before="0" w:after="120"/>
      <w:ind w:hanging="810" w:start="2250" w:end="0"/>
      <w:jc w:val="start"/>
    </w:pPr>
    <w:rPr>
      <w:rFonts w:ascii="PALATINO;Book Antiqua" w:hAnsi="PALATINO;Book Antiqua" w:cs="PALATINO;Book Antiqua"/>
      <w:b w:val="false"/>
    </w:rPr>
  </w:style>
  <w:style w:type="paragraph" w:styleId="dec4">
    <w:name w:val="dec.4"/>
    <w:basedOn w:val="main"/>
    <w:qFormat/>
    <w:pPr>
      <w:tabs>
        <w:tab w:val="clear" w:pos="720"/>
        <w:tab w:val="left" w:pos="3240" w:leader="none"/>
      </w:tabs>
      <w:ind w:hanging="0" w:start="2160" w:end="0"/>
      <w:jc w:val="start"/>
    </w:pPr>
    <w:rPr>
      <w:rFonts w:ascii="PALATINO;Book Antiqua" w:hAnsi="PALATINO;Book Antiqua" w:cs="PALATINO;Book Antiqua"/>
      <w:b w:val="false"/>
    </w:rPr>
  </w:style>
  <w:style w:type="paragraph" w:styleId="dec6">
    <w:name w:val="dec.6"/>
    <w:basedOn w:val="main"/>
    <w:qFormat/>
    <w:pPr>
      <w:tabs>
        <w:tab w:val="clear" w:pos="720"/>
        <w:tab w:val="left" w:pos="3240" w:leader="none"/>
      </w:tabs>
      <w:ind w:hanging="0" w:start="2160" w:end="0"/>
      <w:jc w:val="start"/>
    </w:pPr>
    <w:rPr>
      <w:rFonts w:ascii="PALATINO;Book Antiqua" w:hAnsi="PALATINO;Book Antiqua" w:cs="PALATINO;Book Antiqua"/>
      <w:b w:val="false"/>
    </w:rPr>
  </w:style>
  <w:style w:type="paragraph" w:styleId="31">
    <w:name w:val="3.1"/>
    <w:basedOn w:val="main"/>
    <w:qFormat/>
    <w:pPr>
      <w:ind w:hanging="720" w:start="1440" w:end="0"/>
      <w:jc w:val="start"/>
    </w:pPr>
    <w:rPr>
      <w:rFonts w:ascii="PALATINO;Book Antiqua" w:hAnsi="PALATINO;Book Antiqua" w:cs="PALATINO;Book Antiqua"/>
      <w:b w:val="false"/>
    </w:rPr>
  </w:style>
  <w:style w:type="paragraph" w:styleId="41">
    <w:name w:val="4.1"/>
    <w:basedOn w:val="main"/>
    <w:qFormat/>
    <w:pPr>
      <w:tabs>
        <w:tab w:val="clear" w:pos="720"/>
        <w:tab w:val="left" w:pos="1440" w:leader="none"/>
      </w:tabs>
      <w:ind w:hanging="720" w:start="1440" w:end="0"/>
      <w:jc w:val="start"/>
    </w:pPr>
    <w:rPr>
      <w:rFonts w:ascii="PALATINO;Book Antiqua" w:hAnsi="PALATINO;Book Antiqua" w:cs="PALATINO;Book Antiqua"/>
    </w:rPr>
  </w:style>
  <w:style w:type="paragraph" w:styleId="481">
    <w:name w:val="4.8.1"/>
    <w:basedOn w:val="main"/>
    <w:qFormat/>
    <w:pPr>
      <w:ind w:hanging="720" w:start="2160" w:end="0"/>
      <w:jc w:val="start"/>
    </w:pPr>
    <w:rPr>
      <w:rFonts w:ascii="PALATINO;Book Antiqua" w:hAnsi="PALATINO;Book Antiqua" w:cs="PALATINO;Book Antiqua"/>
      <w:b w:val="false"/>
    </w:rPr>
  </w:style>
  <w:style w:type="paragraph" w:styleId="51">
    <w:name w:val="5.1"/>
    <w:basedOn w:val="main"/>
    <w:qFormat/>
    <w:pPr>
      <w:ind w:hanging="720" w:start="1440" w:end="0"/>
      <w:jc w:val="start"/>
    </w:pPr>
    <w:rPr>
      <w:rFonts w:ascii="PALATINO;Book Antiqua" w:hAnsi="PALATINO;Book Antiqua" w:cs="PALATINO;Book Antiqua"/>
      <w:b w:val="false"/>
    </w:rPr>
  </w:style>
  <w:style w:type="paragraph" w:styleId="561">
    <w:name w:val="5.6.1"/>
    <w:basedOn w:val="main"/>
    <w:qFormat/>
    <w:pPr>
      <w:ind w:hanging="720" w:start="2160" w:end="0"/>
      <w:jc w:val="start"/>
    </w:pPr>
    <w:rPr>
      <w:rFonts w:ascii="PALATINO;Book Antiqua" w:hAnsi="PALATINO;Book Antiqua" w:cs="PALATINO;Book Antiqua"/>
      <w:b w:val="false"/>
    </w:rPr>
  </w:style>
  <w:style w:type="paragraph" w:styleId="612">
    <w:name w:val="6.1.2"/>
    <w:basedOn w:val="main"/>
    <w:qFormat/>
    <w:pPr>
      <w:ind w:hanging="720" w:start="1440" w:end="0"/>
      <w:jc w:val="start"/>
    </w:pPr>
    <w:rPr>
      <w:rFonts w:ascii="PALATINO;Book Antiqua" w:hAnsi="PALATINO;Book Antiqua" w:cs="PALATINO;Book Antiqua"/>
      <w:b w:val="false"/>
    </w:rPr>
  </w:style>
  <w:style w:type="paragraph" w:styleId="711">
    <w:name w:val="7.1.1"/>
    <w:basedOn w:val="main"/>
    <w:qFormat/>
    <w:pPr>
      <w:ind w:hanging="720" w:start="2160" w:end="0"/>
      <w:jc w:val="start"/>
    </w:pPr>
    <w:rPr>
      <w:rFonts w:ascii="PALATINO;Book Antiqua" w:hAnsi="PALATINO;Book Antiqua" w:cs="PALATINO;Book Antiqua"/>
      <w:b w:val="false"/>
    </w:rPr>
  </w:style>
  <w:style w:type="paragraph" w:styleId="11">
    <w:name w:val="1.1"/>
    <w:basedOn w:val="Normal"/>
    <w:qFormat/>
    <w:pPr>
      <w:ind w:hanging="720" w:start="1440" w:end="0"/>
    </w:pPr>
    <w:rPr>
      <w:rFonts w:ascii="PALATINO;Book Antiqua" w:hAnsi="PALATINO;Book Antiqua" w:cs="PALATINO;Book Antiqua"/>
      <w:sz w:val="26"/>
    </w:rPr>
  </w:style>
  <w:style w:type="paragraph" w:styleId="2231">
    <w:name w:val="2.2.3.1"/>
    <w:basedOn w:val="Normal"/>
    <w:qFormat/>
    <w:pPr>
      <w:tabs>
        <w:tab w:val="clear" w:pos="720"/>
        <w:tab w:val="left" w:pos="3240" w:leader="none"/>
      </w:tabs>
      <w:ind w:hanging="0" w:start="2250" w:end="0"/>
    </w:pPr>
    <w:rPr>
      <w:rFonts w:ascii="PALATINO;Book Antiqua" w:hAnsi="PALATINO;Book Antiqua" w:cs="PALATINO;Book Antiqua"/>
      <w:sz w:val="26"/>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29</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2000-12-01T17:34:00Z</dcterms:created>
  <dc:creator>Employee</dc:creator>
  <dc:description/>
  <dc:language>en-CA</dc:language>
  <cp:lastModifiedBy>Moises Chavez</cp:lastModifiedBy>
  <cp:lastPrinted>2000-12-01T14:22:00Z</cp:lastPrinted>
  <dcterms:modified xsi:type="dcterms:W3CDTF">2000-12-01T20:39:00Z</dcterms:modified>
  <cp:revision>3</cp:revision>
  <dc:subject/>
  <dc:title>CPUC Letterhead.Gray Davis</dc:title>
</cp:coreProperties>
</file>