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10" w:type="dxa"/>
        <w:jc w:val="start"/>
        <w:tblInd w:w="0" w:type="dxa"/>
        <w:tblLayout w:type="fixed"/>
        <w:tblCellMar>
          <w:top w:w="0" w:type="dxa"/>
          <w:start w:w="0" w:type="dxa"/>
          <w:bottom w:w="0" w:type="dxa"/>
          <w:end w:w="0" w:type="dxa"/>
        </w:tblCellMar>
      </w:tblPr>
      <w:tblGrid>
        <w:gridCol w:w="9810"/>
      </w:tblGrid>
      <w:tr>
        <w:trPr/>
        <w:tc>
          <w:tcPr>
            <w:tcW w:w="9810" w:type="dxa"/>
            <w:tcBorders/>
            <w:vAlign w:val="center"/>
          </w:tcPr>
          <w:p>
            <w:pPr>
              <w:pStyle w:val="Normal"/>
              <w:rPr/>
            </w:pPr>
            <w:r>
              <w:rPr>
                <w:i/>
              </w:rPr>
              <w:t>Published Sunday, August 20, 2000, in the San Jose Mercury News</w:t>
            </w:r>
            <w:r>
              <w:rPr/>
              <w:t xml:space="preserve"> </w:t>
            </w:r>
          </w:p>
          <w:p>
            <w:pPr>
              <w:pStyle w:val="H1"/>
              <w:rPr/>
            </w:pPr>
            <w:r>
              <w:rPr/>
              <w:t>Power shortage hits air quality</w:t>
            </w:r>
          </w:p>
          <w:p>
            <w:pPr>
              <w:pStyle w:val="Normal"/>
              <w:rPr/>
            </w:pPr>
            <w:r>
              <w:rPr>
                <w:rFonts w:cs="Arial; Helvetica" w:ascii="Arial; Helvetica" w:hAnsi="Arial; Helvetica"/>
                <w:b/>
                <w:sz w:val="28"/>
              </w:rPr>
              <w:t>Concern:</w:t>
            </w:r>
            <w:r>
              <w:rPr>
                <w:sz w:val="28"/>
              </w:rPr>
              <w:t xml:space="preserve"> Old plants and diesel generators are being utilized during shortages. By John Woolfolk Mercury News </w:t>
            </w:r>
          </w:p>
          <w:p>
            <w:pPr>
              <w:pStyle w:val="Normal"/>
              <w:rPr/>
            </w:pPr>
            <w:r>
              <w:rPr/>
              <w:t xml:space="preserve">The power shortage that is pushing California to the brink of blackouts this summer may be fouling the air as well. </w:t>
            </w:r>
          </w:p>
          <w:p>
            <w:pPr>
              <w:pStyle w:val="Normal"/>
              <w:rPr/>
            </w:pPr>
            <w:r>
              <w:rPr/>
              <w:t xml:space="preserve">Old, polluting power plants and diesel backup generators intended for rare emergencies are running like never before to keep the state's power distribution network from crashing. </w:t>
            </w:r>
          </w:p>
          <w:p>
            <w:pPr>
              <w:pStyle w:val="Normal"/>
              <w:rPr/>
            </w:pPr>
            <w:r>
              <w:rPr/>
              <w:t xml:space="preserve">Air quality officials aren't sure how much pollution that's causing, but they're worried it's getting out of hand. They're already faced with extending pollution limits for older plants to avoid blame for blackouts. Now they're trying to rein in backup generators that often are loosely regulated. </w:t>
            </w:r>
          </w:p>
          <w:p>
            <w:pPr>
              <w:pStyle w:val="Normal"/>
              <w:rPr/>
            </w:pPr>
            <w:r>
              <w:rPr/>
              <w:t xml:space="preserve">``There's a lot of concern in managing the situation, to figure out how to not have the lights go out but not do damage to the environment,'' said Matt Haber of the U.S. Environmental Protection Agency's Pacific Southwest office. </w:t>
            </w:r>
          </w:p>
          <w:p>
            <w:pPr>
              <w:pStyle w:val="Normal"/>
              <w:rPr/>
            </w:pPr>
            <w:r>
              <w:rPr/>
              <w:t xml:space="preserve">In the past week, the EPA and other regulatory agencies have stressed those fears to the California Independent System Operator, which runs most of the state distribution network, known as the power grid. The ISO says it shares their concerns but must focus on avoiding blackouts. </w:t>
            </w:r>
          </w:p>
          <w:p>
            <w:pPr>
              <w:pStyle w:val="Normal"/>
              <w:rPr/>
            </w:pPr>
            <w:r>
              <w:rPr/>
              <w:t xml:space="preserve">``We are working with local air quality districts on all aspects of how we can best meet the needs of the system and at the same time preserve the environment,'' said Ali Amirali, senior ISO operations engineer. ``However, we can't lose sight of the fact that over the next two years we do have supply concerns in the state.'' </w:t>
            </w:r>
          </w:p>
          <w:p>
            <w:pPr>
              <w:pStyle w:val="Normal"/>
              <w:rPr/>
            </w:pPr>
            <w:r>
              <w:rPr/>
              <w:t xml:space="preserve">Electricity has grown scarce because the state's 1996 deregulation move created market uncertainty that stalled power plant construction. No major power plant has been built in a decade. And proposed new plants are years away from completion. </w:t>
            </w:r>
          </w:p>
          <w:p>
            <w:pPr>
              <w:pStyle w:val="Normal"/>
              <w:rPr/>
            </w:pPr>
            <w:r>
              <w:rPr/>
              <w:t xml:space="preserve">That's left the ISO scrambling for electricity, and given air districts two big worries: </w:t>
            </w:r>
          </w:p>
          <w:p>
            <w:pPr>
              <w:pStyle w:val="Normal"/>
              <w:rPr/>
            </w:pPr>
            <w:r>
              <w:rPr/>
              <w:t xml:space="preserve">With the ISO pleading for electricity and with scarcity causing wholesale power prices to soar, energy companies are using whatever they've got. Often, that means ``peakers'': old power plant generators that no longer meet pollution standards. Kept for use during peak demand, dozens of them are now running routinely. </w:t>
            </w:r>
          </w:p>
          <w:p>
            <w:pPr>
              <w:pStyle w:val="Normal"/>
              <w:rPr/>
            </w:pPr>
            <w:r>
              <w:rPr/>
              <w:t xml:space="preserve">A number of large companies -- no one knows how many -- are using diesel backup generators to reduce demand on the power grid under incentives from the ISO and utilities. </w:t>
            </w:r>
          </w:p>
          <w:p>
            <w:pPr>
              <w:pStyle w:val="Normal"/>
              <w:rPr/>
            </w:pPr>
            <w:r>
              <w:rPr/>
              <w:t xml:space="preserve">Air quality experts concede that these sources produce a fraction of the pollution caused by cars. But because the pollution is relatively dirtier, a little goes a long way. Diesel generators are 10 times more polluting than 1960s-vintage power plants, which are 10 times dirtier than their modern successors, Haber said. </w:t>
            </w:r>
          </w:p>
          <w:p>
            <w:pPr>
              <w:pStyle w:val="Normal"/>
              <w:rPr/>
            </w:pPr>
            <w:r>
              <w:rPr/>
              <w:t xml:space="preserve">Their pollution could be enough to push smog levels over legal limits, said Steve Hill, permit compliance manager at the Bay Area Air Quality Management District. It's too early to say whether that's happened, but in districts like the Bay Area that are usually close to the line, it could make a difference, he said. </w:t>
            </w:r>
          </w:p>
          <w:p>
            <w:pPr>
              <w:pStyle w:val="Normal"/>
              <w:rPr/>
            </w:pPr>
            <w:r>
              <w:rPr/>
              <w:t xml:space="preserve"> </w:t>
            </w:r>
          </w:p>
          <w:p>
            <w:pPr>
              <w:pStyle w:val="Normal"/>
              <w:rPr>
                <w:rFonts w:ascii="Arial; Helvetica" w:hAnsi="Arial; Helvetica" w:cs="Arial; Helvetica"/>
                <w:b/>
              </w:rPr>
            </w:pPr>
            <w:r>
              <w:rPr>
                <w:rFonts w:cs="Arial; Helvetica" w:ascii="Arial; Helvetica" w:hAnsi="Arial; Helvetica"/>
                <w:b/>
              </w:rPr>
              <w:t xml:space="preserve">Adding to smog </w:t>
            </w:r>
          </w:p>
          <w:p>
            <w:pPr>
              <w:pStyle w:val="Normal"/>
              <w:rPr/>
            </w:pPr>
            <w:r>
              <w:rPr/>
              <w:t xml:space="preserve">Making matters worse, most of the generator use occurs on days that are already hot and smoggy, because those are the days that trigger electricity shortages. </w:t>
            </w:r>
          </w:p>
          <w:p>
            <w:pPr>
              <w:pStyle w:val="Normal"/>
              <w:rPr/>
            </w:pPr>
            <w:r>
              <w:rPr/>
              <w:t xml:space="preserve">``They're being operated at the worst possible time,'' said Larry Greene, president of the California Air Pollution Control Officers Association. </w:t>
            </w:r>
          </w:p>
          <w:p>
            <w:pPr>
              <w:pStyle w:val="Normal"/>
              <w:rPr/>
            </w:pPr>
            <w:r>
              <w:rPr/>
              <w:t xml:space="preserve">If smog exceeds federal and state standards, that can lead to costly regulations, Hill said. Los Angeles already has been forced to impose mandatory ride-sharing and diesel fleet conversions to natural gas, he said. </w:t>
            </w:r>
          </w:p>
          <w:p>
            <w:pPr>
              <w:pStyle w:val="Normal"/>
              <w:rPr/>
            </w:pPr>
            <w:r>
              <w:rPr/>
              <w:t xml:space="preserve">The Bay Area district has exceeded air quality standards since 1997, a trend that already was expected to continue this year, Hill said. But adding pollution makes it harder to bring those levels down, he said. </w:t>
            </w:r>
          </w:p>
          <w:p>
            <w:pPr>
              <w:pStyle w:val="Normal"/>
              <w:rPr/>
            </w:pPr>
            <w:r>
              <w:rPr/>
              <w:t xml:space="preserve">This summer has seen high-profile clashes between energy and environmental concerns. Last month, Pacific Gas &amp; Electric Corp.'s National Energy Group tried to bring a floating peaker plant to San Francisco Bay. </w:t>
            </w:r>
          </w:p>
          <w:p>
            <w:pPr>
              <w:pStyle w:val="Normal"/>
              <w:rPr/>
            </w:pPr>
            <w:r>
              <w:rPr/>
              <w:t xml:space="preserve">The 95-megawatt plant would have provided enough power for 95,000 homes. But PG&amp;E Corp. dropped the plan after environmental groups protested that the plant, powered by jet fuel, would be too polluting. </w:t>
            </w:r>
          </w:p>
          <w:p>
            <w:pPr>
              <w:pStyle w:val="Normal"/>
              <w:rPr/>
            </w:pPr>
            <w:r>
              <w:rPr/>
              <w:t xml:space="preserve">Air districts say they'd rather negotiate deals that allow peakers to run in exchange for environmental improvements later. </w:t>
            </w:r>
          </w:p>
          <w:p>
            <w:pPr>
              <w:pStyle w:val="Normal"/>
              <w:rPr/>
            </w:pPr>
            <w:r>
              <w:rPr/>
              <w:t xml:space="preserve">They point to a deal last month between Reliant Energy and the Ventura County Air Pollution Control District. Reliant's Mandalay Generating Station, a 1950s-era peaker, had reached its 100-hour annual operating limit on the district's permit. </w:t>
            </w:r>
          </w:p>
          <w:p>
            <w:pPr>
              <w:pStyle w:val="Normal"/>
              <w:rPr/>
            </w:pPr>
            <w:r>
              <w:rPr/>
              <w:t xml:space="preserve">The district agreed to extend that limit to 300 hours, said compliance manager Keith Duval. In exchange, Reliant agreed to install emission control equipment on the plant within a year, at a cost of up to $2.5 million, he said. Reliant also will pay $4,000 for each hour of operation over its original limit. The money will go toward a program that converts dirty vehicles to cleaner fuels. </w:t>
            </w:r>
          </w:p>
          <w:p>
            <w:pPr>
              <w:pStyle w:val="Normal"/>
              <w:rPr/>
            </w:pPr>
            <w:r>
              <w:rPr/>
              <w:t xml:space="preserve">The issue of standby generators is even more complicated for air districts, which have different rules governing their use. </w:t>
            </w:r>
          </w:p>
          <w:p>
            <w:pPr>
              <w:pStyle w:val="Normal"/>
              <w:rPr/>
            </w:pPr>
            <w:r>
              <w:rPr/>
              <w:t xml:space="preserve">Some don't require permits for emergency generators. The Bay Area exempts generators used fewer than 200 hours a year, with the understanding that they're for rare power outages. But that's proven difficult to monitor. </w:t>
            </w:r>
          </w:p>
          <w:p>
            <w:pPr>
              <w:pStyle w:val="Normal"/>
              <w:rPr/>
            </w:pPr>
            <w:r>
              <w:rPr/>
              <w:t xml:space="preserve">``These engines are everywhere,'' Hill said. ``We have rules, but the fact that we don't have these sources of registration means we don't have the means of enforcing them.'' </w:t>
            </w:r>
          </w:p>
          <w:p>
            <w:pPr>
              <w:pStyle w:val="Normal"/>
              <w:rPr/>
            </w:pPr>
            <w:r>
              <w:rPr/>
              <w:t xml:space="preserve">Air districts believe incentive programs to reduce power use from the grid are causing generator use to soar. </w:t>
            </w:r>
          </w:p>
          <w:p>
            <w:pPr>
              <w:pStyle w:val="Normal"/>
              <w:rPr/>
            </w:pPr>
            <w:r>
              <w:rPr/>
              <w:t xml:space="preserve">The ISO this year launched a demand relief program that pays businesses to curtail use from the grid during ``Stage 2'' emergencies when electricity reserves fall below 5 percent. Historically a rare event, it's happened more than a dozen times this summer, more than three times the 1998 record. </w:t>
            </w:r>
          </w:p>
          <w:p>
            <w:pPr>
              <w:pStyle w:val="Normal"/>
              <w:rPr/>
            </w:pPr>
            <w:r>
              <w:rPr/>
              <w:t xml:space="preserve">Utilities have similar programs that grant businesses rate breaks in exchange for reducing power use during Stage 2 emergencies. PG&amp;E's program, which includes 75 Bay Area businesses and more than 200 statewide, requires them to save at least 500 kilowatts. </w:t>
            </w:r>
          </w:p>
          <w:p>
            <w:pPr>
              <w:pStyle w:val="Normal"/>
              <w:rPr/>
            </w:pPr>
            <w:r>
              <w:rPr/>
              <w:t xml:space="preserve">The programs don't specify how customers should achieve the energy savings. Some close for the day, others lower lighting and air conditioning, but air districts say many turn on backup generators. </w:t>
            </w:r>
          </w:p>
          <w:p>
            <w:pPr>
              <w:pStyle w:val="Normal"/>
              <w:rPr/>
            </w:pPr>
            <w:r>
              <w:rPr/>
              <w:t xml:space="preserve">Citing privacy, the grid operator and utilities won't say which businesses participate, so air districts have a hard time monitoring generator use. </w:t>
            </w:r>
          </w:p>
          <w:p>
            <w:pPr>
              <w:pStyle w:val="Normal"/>
              <w:rPr/>
            </w:pPr>
            <w:r>
              <w:rPr>
                <w:rFonts w:cs="Arial; Helvetica" w:ascii="Arial; Helvetica" w:hAnsi="Arial; Helvetica"/>
                <w:b/>
              </w:rPr>
              <w:t>Generator program</w:t>
            </w:r>
            <w:r>
              <w:rPr/>
              <w:t xml:space="preserve"> </w:t>
            </w:r>
          </w:p>
          <w:p>
            <w:pPr>
              <w:pStyle w:val="Normal"/>
              <w:rPr/>
            </w:pPr>
            <w:r>
              <w:rPr/>
              <w:t xml:space="preserve">But the programs are so lucrative that many companies with generators are looking to sign up. Texas Instruments in Santa Cruz planned to use its four-megawatt generator for the ISO's demand relief program, which would have paid the chip maker $160,000 a month -- about half its electric bill -- said plant services director John Janzen. </w:t>
            </w:r>
          </w:p>
          <w:p>
            <w:pPr>
              <w:pStyle w:val="Normal"/>
              <w:rPr/>
            </w:pPr>
            <w:r>
              <w:rPr/>
              <w:t xml:space="preserve">But the Monterey Bay Air Pollution Control District, which requires permits for generators, blocked the move. </w:t>
            </w:r>
          </w:p>
          <w:p>
            <w:pPr>
              <w:pStyle w:val="Normal"/>
              <w:rPr/>
            </w:pPr>
            <w:r>
              <w:rPr/>
              <w:t xml:space="preserve">To curb use of emergency generators, the EPA in a letter to the ISO last week proposed allowing them only when electricity reserves fall to 2 percent. That's just short of the 1.5 percent level that triggers rotating blackouts. The ISO will consider the request, Amirali said. </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0" allowOverlap="1" relativeHeight="2">
                      <wp:simplePos x="0" y="0"/>
                      <wp:positionH relativeFrom="margin">
                        <wp:posOffset>0</wp:posOffset>
                      </wp:positionH>
                      <wp:positionV relativeFrom="paragraph">
                        <wp:posOffset>152400</wp:posOffset>
                      </wp:positionV>
                      <wp:extent cx="5943600" cy="635"/>
                      <wp:effectExtent l="635" t="13335" r="635" b="635"/>
                      <wp:wrapNone/>
                      <wp:docPr id="1" name=""/>
                      <a:graphic xmlns:a="http://schemas.openxmlformats.org/drawingml/2006/main">
                        <a:graphicData uri="http://schemas.microsoft.com/office/word/2010/wordprocessingShape">
                          <wps:wsp>
                            <wps:cNvSpPr/>
                            <wps:spPr>
                              <a:xfrm>
                                <a:off x="0" y="0"/>
                                <a:ext cx="5943600" cy="720"/>
                              </a:xfrm>
                              <a:prstGeom prst="line">
                                <a:avLst/>
                              </a:prstGeom>
                              <a:ln w="0">
                                <a:solidFill>
                                  <a:srgbClr val="d4d4d4"/>
                                </a:solidFill>
                              </a:ln>
                            </wps:spPr>
                            <wps:style>
                              <a:lnRef idx="0"/>
                              <a:fillRef idx="0"/>
                              <a:effectRef idx="0"/>
                              <a:fontRef idx="minor"/>
                            </wps:style>
                            <wps:bodyPr/>
                          </wps:wsp>
                        </a:graphicData>
                      </a:graphic>
                    </wp:anchor>
                  </w:drawing>
                </mc:Choice>
                <mc:Fallback>
                  <w:pict>
                    <v:line id="shape_0" from="0pt,12pt" to="467.95pt,12pt" stroked="t" o:allowincell="f" style="position:absolute;mso-position-horizontal-relative:margin">
                      <v:stroke color="#d4d4d4" joinstyle="miter" endcap="flat"/>
                      <v:fill o:detectmouseclick="t" on="false"/>
                      <v:shadow on="t" obscured="f" color="gray"/>
                      <w10:wrap type="none"/>
                    </v:line>
                  </w:pict>
                </mc:Fallback>
              </mc:AlternateContent>
            </w:r>
          </w:p>
          <w:p>
            <w:pPr>
              <w:pStyle w:val="Normal"/>
              <w:rPr/>
            </w:pPr>
            <w:r>
              <w:rPr/>
              <w:t xml:space="preserve"> </w:t>
            </w:r>
          </w:p>
        </w:tc>
      </w:tr>
    </w:tbl>
    <w:p>
      <w:pPr>
        <w:pStyle w:val="Normal"/>
        <w:rPr/>
      </w:pPr>
      <w:r>
        <w:rPr/>
      </w:r>
    </w:p>
    <w:p>
      <w:pPr>
        <w:pStyle w:val="Normal"/>
        <w:rPr/>
      </w:pPr>
      <w:r>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w:altName w:val=" Helvetic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lang w:eastAsia="en-US"/>
    </w:rPr>
  </w:style>
  <w:style w:type="paragraph" w:styleId="Blockquote">
    <w:name w:val="Blockquote"/>
    <w:basedOn w:val="Normal"/>
    <w:qFormat/>
    <w:pPr>
      <w:spacing w:before="100" w:after="100"/>
      <w:ind w:hanging="0" w:start="360" w:end="360"/>
    </w:pPr>
    <w:rPr>
      <w:sz w:val="24"/>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2000-08-20T10:54:00Z</dcterms:created>
  <dc:creator>Don Schultz</dc:creator>
  <dc:description/>
  <dc:language>en-CA</dc:language>
  <cp:lastModifiedBy>Don Schultz</cp:lastModifiedBy>
  <dcterms:modified xsi:type="dcterms:W3CDTF">2000-08-20T10:58:00Z</dcterms:modified>
  <cp:revision>1</cp:revision>
  <dc:subject/>
  <dc:title>Published Sunday, August 20, 2000, in the San Jose Mercury News </dc:title>
</cp:coreProperties>
</file>