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28"/>
        </w:rPr>
      </w:pPr>
      <w:r>
        <w:rPr>
          <w:sz w:val="28"/>
        </w:rPr>
        <w:t>International METAR Code</w:t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b w:val="false"/>
        </w:rPr>
      </w:pPr>
      <w:r>
        <w:rPr>
          <w:u w:val="single"/>
        </w:rPr>
        <w:t>Canada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Calgary</w:t>
        <w:tab/>
        <w:tab/>
        <w:t>CYYC</w:t>
      </w:r>
    </w:p>
    <w:p>
      <w:pPr>
        <w:pStyle w:val="Normal"/>
        <w:rPr>
          <w:sz w:val="24"/>
        </w:rPr>
      </w:pPr>
      <w:r>
        <w:rPr>
          <w:sz w:val="24"/>
        </w:rPr>
        <w:t>Edmonton</w:t>
        <w:tab/>
        <w:tab/>
        <w:t>CYEG</w:t>
      </w:r>
    </w:p>
    <w:p>
      <w:pPr>
        <w:pStyle w:val="Normal"/>
        <w:rPr>
          <w:sz w:val="24"/>
        </w:rPr>
      </w:pPr>
      <w:r>
        <w:rPr>
          <w:sz w:val="24"/>
        </w:rPr>
        <w:t>Mica Dam</w:t>
        <w:tab/>
        <w:tab/>
        <w:t>CMCD</w:t>
      </w:r>
    </w:p>
    <w:p>
      <w:pPr>
        <w:pStyle w:val="Normal"/>
        <w:rPr>
          <w:sz w:val="24"/>
        </w:rPr>
      </w:pPr>
      <w:r>
        <w:rPr>
          <w:sz w:val="24"/>
        </w:rPr>
        <w:t>Prince George</w:t>
        <w:tab/>
        <w:tab/>
        <w:t>CYXS</w:t>
      </w:r>
    </w:p>
    <w:p>
      <w:pPr>
        <w:pStyle w:val="Normal"/>
        <w:rPr>
          <w:sz w:val="24"/>
        </w:rPr>
      </w:pPr>
      <w:r>
        <w:rPr>
          <w:sz w:val="24"/>
        </w:rPr>
        <w:t>Vancouver</w:t>
        <w:tab/>
        <w:tab/>
        <w:t>CYVR</w:t>
      </w:r>
    </w:p>
    <w:p>
      <w:pPr>
        <w:pStyle w:val="Normal"/>
        <w:rPr>
          <w:sz w:val="24"/>
        </w:rPr>
      </w:pPr>
      <w:r>
        <w:rPr>
          <w:sz w:val="24"/>
        </w:rPr>
        <w:t>Winnipeg</w:t>
        <w:tab/>
        <w:tab/>
        <w:t>CYWG</w:t>
      </w:r>
    </w:p>
    <w:p>
      <w:pPr>
        <w:pStyle w:val="Normal"/>
        <w:rPr>
          <w:sz w:val="24"/>
        </w:rPr>
      </w:pPr>
      <w:r>
        <w:rPr>
          <w:sz w:val="24"/>
        </w:rPr>
        <w:t>North Bay</w:t>
        <w:tab/>
        <w:tab/>
        <w:t>CYYB</w:t>
      </w:r>
    </w:p>
    <w:p>
      <w:pPr>
        <w:pStyle w:val="Normal"/>
        <w:rPr>
          <w:sz w:val="24"/>
        </w:rPr>
      </w:pPr>
      <w:r>
        <w:rPr>
          <w:sz w:val="24"/>
        </w:rPr>
        <w:t>Ottawa</w:t>
        <w:tab/>
        <w:tab/>
        <w:tab/>
        <w:t>CYOW</w:t>
      </w:r>
    </w:p>
    <w:p>
      <w:pPr>
        <w:pStyle w:val="Normal"/>
        <w:rPr>
          <w:sz w:val="24"/>
        </w:rPr>
      </w:pPr>
      <w:r>
        <w:rPr>
          <w:sz w:val="24"/>
        </w:rPr>
        <w:t>Thunder Bay</w:t>
        <w:tab/>
        <w:tab/>
        <w:t>CYQT</w:t>
      </w:r>
    </w:p>
    <w:p>
      <w:pPr>
        <w:pStyle w:val="Normal"/>
        <w:rPr>
          <w:sz w:val="24"/>
        </w:rPr>
      </w:pPr>
      <w:r>
        <w:rPr>
          <w:sz w:val="24"/>
        </w:rPr>
        <w:t>Quebec</w:t>
        <w:tab/>
        <w:tab/>
        <w:t>CYQB</w:t>
      </w:r>
    </w:p>
    <w:p>
      <w:pPr>
        <w:pStyle w:val="Normal"/>
        <w:rPr>
          <w:sz w:val="24"/>
        </w:rPr>
      </w:pPr>
      <w:r>
        <w:rPr>
          <w:sz w:val="24"/>
        </w:rPr>
        <w:t>Prince Albert</w:t>
        <w:tab/>
        <w:tab/>
        <w:t>CYPA</w:t>
      </w:r>
    </w:p>
    <w:p>
      <w:pPr>
        <w:pStyle w:val="Normal"/>
        <w:rPr>
          <w:sz w:val="24"/>
        </w:rPr>
      </w:pPr>
      <w:r>
        <w:rPr>
          <w:sz w:val="24"/>
        </w:rPr>
        <w:t>Regina</w:t>
        <w:tab/>
        <w:tab/>
        <w:tab/>
        <w:t>CYQR</w:t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>United Kingdom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2"/>
        <w:ind w:hanging="0" w:start="0"/>
        <w:rPr/>
      </w:pPr>
      <w:r>
        <w:rPr/>
        <w:t>Birmingham</w:t>
        <w:tab/>
        <w:tab/>
        <w:t>EGBB</w:t>
      </w:r>
    </w:p>
    <w:p>
      <w:pPr>
        <w:pStyle w:val="Heading2"/>
        <w:ind w:hanging="0" w:start="0"/>
        <w:rPr/>
      </w:pPr>
      <w:r>
        <w:rPr/>
        <w:t>London/Heathrow</w:t>
        <w:tab/>
        <w:t>EGLL</w:t>
      </w:r>
    </w:p>
    <w:p>
      <w:pPr>
        <w:pStyle w:val="Heading2"/>
        <w:ind w:hanging="0" w:start="0"/>
        <w:rPr/>
      </w:pPr>
      <w:r>
        <w:rPr/>
        <w:t>Manchester</w:t>
        <w:tab/>
        <w:tab/>
        <w:t>EGCC</w:t>
      </w:r>
    </w:p>
    <w:p>
      <w:pPr>
        <w:pStyle w:val="Heading3"/>
        <w:ind w:hanging="0" w:start="0"/>
        <w:rPr/>
      </w:pPr>
      <w:r>
        <w:rPr/>
        <w:t>Southampton</w:t>
        <w:tab/>
        <w:tab/>
        <w:t>EGHI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France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Lyon</w:t>
        <w:tab/>
        <w:tab/>
        <w:tab/>
        <w:t>LFLY</w:t>
      </w:r>
    </w:p>
    <w:p>
      <w:pPr>
        <w:pStyle w:val="Normal"/>
        <w:rPr>
          <w:sz w:val="24"/>
        </w:rPr>
      </w:pPr>
      <w:r>
        <w:rPr>
          <w:sz w:val="24"/>
        </w:rPr>
        <w:t>Nice</w:t>
        <w:tab/>
        <w:tab/>
        <w:tab/>
        <w:t>LFMN</w:t>
      </w:r>
    </w:p>
    <w:p>
      <w:pPr>
        <w:pStyle w:val="Normal"/>
        <w:rPr>
          <w:sz w:val="24"/>
        </w:rPr>
      </w:pPr>
      <w:r>
        <w:rPr>
          <w:sz w:val="24"/>
        </w:rPr>
        <w:t>Paris/Orly</w:t>
        <w:tab/>
        <w:tab/>
        <w:t>LFPO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Germany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Berlin</w:t>
        <w:tab/>
        <w:tab/>
        <w:tab/>
        <w:t>EDBB</w:t>
      </w:r>
    </w:p>
    <w:p>
      <w:pPr>
        <w:pStyle w:val="Normal"/>
        <w:rPr>
          <w:sz w:val="24"/>
        </w:rPr>
      </w:pPr>
      <w:r>
        <w:rPr>
          <w:sz w:val="24"/>
        </w:rPr>
        <w:t>Frankfurt</w:t>
        <w:tab/>
        <w:tab/>
        <w:t>EDDF</w:t>
      </w:r>
    </w:p>
    <w:p>
      <w:pPr>
        <w:pStyle w:val="Normal"/>
        <w:rPr>
          <w:sz w:val="24"/>
        </w:rPr>
      </w:pPr>
      <w:r>
        <w:rPr>
          <w:sz w:val="24"/>
        </w:rPr>
        <w:t>Hamburg</w:t>
        <w:tab/>
        <w:tab/>
        <w:t>EDDH</w:t>
      </w:r>
    </w:p>
    <w:p>
      <w:pPr>
        <w:pStyle w:val="Normal"/>
        <w:rPr>
          <w:sz w:val="24"/>
        </w:rPr>
      </w:pPr>
      <w:r>
        <w:rPr>
          <w:sz w:val="24"/>
        </w:rPr>
        <w:t>Kiel</w:t>
        <w:tab/>
        <w:tab/>
        <w:tab/>
        <w:t>EDCK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Italy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3"/>
        <w:ind w:hanging="0" w:start="0"/>
        <w:rPr/>
      </w:pPr>
      <w:r>
        <w:rPr/>
        <w:t>Milan</w:t>
        <w:tab/>
        <w:tab/>
        <w:tab/>
        <w:t>LIMM</w:t>
      </w:r>
    </w:p>
    <w:p>
      <w:pPr>
        <w:pStyle w:val="Normal"/>
        <w:rPr>
          <w:sz w:val="24"/>
        </w:rPr>
      </w:pPr>
      <w:r>
        <w:rPr>
          <w:sz w:val="24"/>
        </w:rPr>
        <w:t>Rome</w:t>
        <w:tab/>
        <w:tab/>
        <w:tab/>
        <w:t>LIRF</w:t>
      </w:r>
    </w:p>
    <w:p>
      <w:pPr>
        <w:pStyle w:val="Normal"/>
        <w:rPr>
          <w:sz w:val="24"/>
        </w:rPr>
      </w:pPr>
      <w:r>
        <w:rPr>
          <w:sz w:val="24"/>
        </w:rPr>
        <w:t>Venezia</w:t>
        <w:tab/>
        <w:tab/>
        <w:t>LIPZ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2"/>
        <w:ind w:hanging="0" w:start="0"/>
        <w:rPr/>
      </w:pPr>
      <w:r>
        <w:rPr/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2000-12-13T14:57:00Z</dcterms:created>
  <dc:creator>jmarque2</dc:creator>
  <dc:description/>
  <dc:language>en-CA</dc:language>
  <cp:lastModifiedBy>jmarque2</cp:lastModifiedBy>
  <dcterms:modified xsi:type="dcterms:W3CDTF">2000-12-13T14:57:00Z</dcterms:modified>
  <cp:revision>2</cp:revision>
  <dc:subject/>
  <dc:title>International METAR Code</dc:title>
</cp:coreProperties>
</file>