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878" w:type="dxa"/>
        <w:jc w:val="start"/>
        <w:tblInd w:w="-702" w:type="dxa"/>
        <w:tblLayout w:type="fixed"/>
        <w:tblCellMar>
          <w:top w:w="0" w:type="dxa"/>
          <w:start w:w="108" w:type="dxa"/>
          <w:bottom w:w="0" w:type="dxa"/>
          <w:end w:w="108" w:type="dxa"/>
        </w:tblCellMar>
      </w:tblPr>
      <w:tblGrid>
        <w:gridCol w:w="1284"/>
        <w:gridCol w:w="2725"/>
        <w:gridCol w:w="3321"/>
        <w:gridCol w:w="3147"/>
        <w:gridCol w:w="3401"/>
      </w:tblGrid>
      <w:tr>
        <w:trPr/>
        <w:tc>
          <w:tcPr>
            <w:tcW w:w="1284" w:type="dxa"/>
            <w:tcBorders>
              <w:top w:val="single" w:sz="6" w:space="0" w:color="000000"/>
              <w:start w:val="single" w:sz="6" w:space="0" w:color="000000"/>
              <w:bottom w:val="single" w:sz="6" w:space="0" w:color="000000"/>
              <w:end w:val="single" w:sz="6" w:space="0" w:color="000000"/>
            </w:tcBorders>
          </w:tcPr>
          <w:p>
            <w:pPr>
              <w:pStyle w:val="Heading1"/>
              <w:ind w:hanging="0" w:start="0"/>
              <w:rPr>
                <w:sz w:val="20"/>
              </w:rPr>
            </w:pPr>
            <w:r>
              <w:rPr>
                <w:sz w:val="20"/>
              </w:rPr>
              <w:t>Person</w:t>
            </w:r>
          </w:p>
        </w:tc>
        <w:tc>
          <w:tcPr>
            <w:tcW w:w="2725" w:type="dxa"/>
            <w:tcBorders>
              <w:top w:val="single" w:sz="6" w:space="0" w:color="000000"/>
              <w:start w:val="single" w:sz="6" w:space="0" w:color="000000"/>
              <w:bottom w:val="single" w:sz="6" w:space="0" w:color="000000"/>
              <w:end w:val="single" w:sz="6" w:space="0" w:color="000000"/>
            </w:tcBorders>
          </w:tcPr>
          <w:p>
            <w:pPr>
              <w:pStyle w:val="Normal"/>
              <w:rPr>
                <w:caps/>
              </w:rPr>
            </w:pPr>
            <w:r>
              <w:rPr>
                <w:caps/>
              </w:rPr>
              <w:t>Risk management for existing transactions</w:t>
            </w:r>
          </w:p>
        </w:tc>
        <w:tc>
          <w:tcPr>
            <w:tcW w:w="3321" w:type="dxa"/>
            <w:tcBorders>
              <w:top w:val="single" w:sz="6" w:space="0" w:color="000000"/>
              <w:start w:val="single" w:sz="6" w:space="0" w:color="000000"/>
              <w:bottom w:val="single" w:sz="6" w:space="0" w:color="000000"/>
              <w:end w:val="single" w:sz="6" w:space="0" w:color="000000"/>
            </w:tcBorders>
          </w:tcPr>
          <w:p>
            <w:pPr>
              <w:pStyle w:val="Normal"/>
              <w:rPr>
                <w:caps/>
              </w:rPr>
            </w:pPr>
            <w:r>
              <w:rPr>
                <w:caps/>
              </w:rPr>
              <w:t>support developing transactions</w:t>
            </w:r>
          </w:p>
        </w:tc>
        <w:tc>
          <w:tcPr>
            <w:tcW w:w="3147" w:type="dxa"/>
            <w:tcBorders>
              <w:top w:val="single" w:sz="6" w:space="0" w:color="000000"/>
              <w:start w:val="single" w:sz="6" w:space="0" w:color="000000"/>
              <w:bottom w:val="single" w:sz="6" w:space="0" w:color="000000"/>
              <w:end w:val="single" w:sz="6" w:space="0" w:color="000000"/>
            </w:tcBorders>
          </w:tcPr>
          <w:p>
            <w:pPr>
              <w:pStyle w:val="Normal"/>
              <w:rPr>
                <w:caps/>
              </w:rPr>
            </w:pPr>
            <w:r>
              <w:rPr>
                <w:caps/>
              </w:rPr>
              <w:t>opening and enhancing new markets</w:t>
            </w:r>
          </w:p>
        </w:tc>
        <w:tc>
          <w:tcPr>
            <w:tcW w:w="3401" w:type="dxa"/>
            <w:tcBorders>
              <w:top w:val="single" w:sz="6" w:space="0" w:color="000000"/>
              <w:start w:val="single" w:sz="6" w:space="0" w:color="000000"/>
              <w:bottom w:val="single" w:sz="6" w:space="0" w:color="000000"/>
              <w:end w:val="single" w:sz="6" w:space="0" w:color="000000"/>
            </w:tcBorders>
          </w:tcPr>
          <w:p>
            <w:pPr>
              <w:pStyle w:val="Normal"/>
              <w:rPr>
                <w:caps/>
              </w:rPr>
            </w:pPr>
            <w:r>
              <w:rPr>
                <w:caps/>
              </w:rPr>
              <w:t>government affairs origination/Other matters</w:t>
            </w:r>
          </w:p>
        </w:tc>
      </w:tr>
      <w:tr>
        <w:trPr/>
        <w:tc>
          <w:tcPr>
            <w:tcW w:w="1284" w:type="dxa"/>
            <w:tcBorders>
              <w:top w:val="single" w:sz="6" w:space="0" w:color="000000"/>
              <w:start w:val="single" w:sz="6" w:space="0" w:color="000000"/>
              <w:bottom w:val="single" w:sz="6" w:space="0" w:color="000000"/>
              <w:end w:val="single" w:sz="6" w:space="0" w:color="000000"/>
            </w:tcBorders>
          </w:tcPr>
          <w:p>
            <w:pPr>
              <w:pStyle w:val="Normal"/>
              <w:rPr/>
            </w:pPr>
            <w:r>
              <w:rPr/>
              <w:t>Delaney</w:t>
            </w:r>
          </w:p>
        </w:tc>
        <w:tc>
          <w:tcPr>
            <w:tcW w:w="2725"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321" w:type="dxa"/>
            <w:tcBorders>
              <w:top w:val="single" w:sz="6" w:space="0" w:color="000000"/>
              <w:start w:val="single" w:sz="6" w:space="0" w:color="000000"/>
              <w:bottom w:val="single" w:sz="6" w:space="0" w:color="000000"/>
              <w:end w:val="single" w:sz="6" w:space="0" w:color="000000"/>
            </w:tcBorders>
          </w:tcPr>
          <w:p>
            <w:pPr>
              <w:pStyle w:val="Normal"/>
              <w:rPr/>
            </w:pPr>
            <w:r>
              <w:rPr/>
              <w:t>For-Profit-Transco’s – Work with Randy Maffett of the TransCo group. This work requires a commitment of 2 days/month.</w:t>
            </w:r>
          </w:p>
        </w:tc>
        <w:tc>
          <w:tcPr>
            <w:tcW w:w="3147" w:type="dxa"/>
            <w:tcBorders>
              <w:top w:val="single" w:sz="6" w:space="0" w:color="000000"/>
              <w:start w:val="single" w:sz="6" w:space="0" w:color="000000"/>
              <w:bottom w:val="single" w:sz="6" w:space="0" w:color="000000"/>
              <w:end w:val="single" w:sz="6" w:space="0" w:color="000000"/>
            </w:tcBorders>
          </w:tcPr>
          <w:p>
            <w:pPr>
              <w:pStyle w:val="Normal"/>
              <w:spacing w:before="240" w:after="0"/>
              <w:rPr/>
            </w:pPr>
            <w:r>
              <w:rPr/>
              <w:t>Desert Star Congestion Management – I chair this group.  (Carl Imperato runs it in my place when I need to be in Texas or other places). This group meets one day a week but there tends to be work before and after meetings required to make this group work.  Deliverables are as follows; (1) Firm Transmission Rights; (2) Recallable Transmission Rights; (3) Use-or-lose-it provisions; (4) Auction process; (5) Curtailments; (6) Net scheduling provisions; (7)</w:t>
            </w:r>
          </w:p>
          <w:p>
            <w:pPr>
              <w:pStyle w:val="Normal"/>
              <w:rPr/>
            </w:pPr>
            <w:r>
              <w:rPr/>
              <w:t>Creation of Zones; (8) Nature of transmission and congestion</w:t>
            </w:r>
          </w:p>
          <w:p>
            <w:pPr>
              <w:pStyle w:val="Normal"/>
              <w:rPr/>
            </w:pPr>
            <w:r>
              <w:rPr/>
            </w:r>
          </w:p>
          <w:p>
            <w:pPr>
              <w:pStyle w:val="Normal"/>
              <w:rPr/>
            </w:pPr>
            <w:r>
              <w:rPr/>
              <w:t>Desert Star Pricing/Contracts – this group works on the access fee methodology, but more importantly what “honoring contracts” means as well as “conversion” of contracts means.  This is a very important group that meets every other week.</w:t>
            </w:r>
          </w:p>
          <w:p>
            <w:pPr>
              <w:pStyle w:val="Normal"/>
              <w:rPr/>
            </w:pPr>
            <w:r>
              <w:rPr/>
            </w:r>
          </w:p>
          <w:p>
            <w:pPr>
              <w:pStyle w:val="Normal"/>
              <w:rPr/>
            </w:pPr>
            <w:r>
              <w:rPr/>
              <w:t>Desert Star Legal &amp; Negotiating Group – this group works on legal items and issues that cannot be resolved gets booted up to this group [this might change with the new steering committee in place].  Currently is working on the Transmission Control Agreement and FERC Tariff structure.  This group meets every week.</w:t>
            </w:r>
          </w:p>
          <w:p>
            <w:pPr>
              <w:pStyle w:val="Normal"/>
              <w:rPr/>
            </w:pPr>
            <w:r>
              <w:rPr/>
            </w:r>
          </w:p>
          <w:p>
            <w:pPr>
              <w:pStyle w:val="Normal"/>
              <w:rPr/>
            </w:pPr>
            <w:r>
              <w:rPr/>
              <w:t>Arizona ISA – operating group meets every other week to try and finalize protocols necessary for filing to FERC and the ACC. Board meets every month.  Current issues – Transmission allocation, energy imbalance charges, ADR, and other related issues that we have previously filed in protests to FERC and the ACC.</w:t>
            </w:r>
          </w:p>
          <w:p>
            <w:pPr>
              <w:pStyle w:val="Normal"/>
              <w:rPr/>
            </w:pPr>
            <w:r>
              <w:rPr/>
            </w:r>
          </w:p>
          <w:p>
            <w:pPr>
              <w:pStyle w:val="Normal"/>
              <w:rPr/>
            </w:pPr>
            <w:r>
              <w:rPr/>
              <w:t>New Mexico Open Access – A transition plan group is meeting every month to review the work being done by a smaller group on what the utilities modified OATT should look like.  I am the lead negotiator in the smaller group that meets every 2 weeks.</w:t>
            </w:r>
          </w:p>
          <w:p>
            <w:pPr>
              <w:pStyle w:val="Normal"/>
              <w:rPr/>
            </w:pPr>
            <w:r>
              <w:rPr/>
            </w:r>
          </w:p>
          <w:p>
            <w:pPr>
              <w:pStyle w:val="Normal"/>
              <w:rPr/>
            </w:pPr>
            <w:r>
              <w:rPr/>
              <w:t>ERCOT – Meeting once a week on congestion management.  There are at least 4 other important groups that need covering in this process.</w:t>
            </w:r>
          </w:p>
          <w:p>
            <w:pPr>
              <w:pStyle w:val="Normal"/>
              <w:rPr/>
            </w:pPr>
            <w:r>
              <w:rPr/>
            </w:r>
          </w:p>
          <w:p>
            <w:pPr>
              <w:pStyle w:val="Normal"/>
              <w:rPr/>
            </w:pPr>
            <w:r>
              <w:rPr/>
              <w:t>Regional Transmission Groups – There are three RTG’s in the WSCC.  I am on each board and each board meets independently of one another every 3-4 months.</w:t>
            </w:r>
          </w:p>
          <w:p>
            <w:pPr>
              <w:pStyle w:val="Normal"/>
              <w:rPr/>
            </w:pPr>
            <w:r>
              <w:rPr/>
            </w:r>
          </w:p>
          <w:p>
            <w:pPr>
              <w:pStyle w:val="Normal"/>
              <w:rPr/>
            </w:pPr>
            <w:r>
              <w:rPr/>
              <w:t>Florida – I’ve been managing this with current contracted staff.  This process is geared to take off.  Today this commitment involves 2-3 days/month of my time.  We expect a greater level of commitment beginning in the next few months.</w:t>
            </w:r>
          </w:p>
          <w:p>
            <w:pPr>
              <w:pStyle w:val="Normal"/>
              <w:rPr/>
            </w:pPr>
            <w:r>
              <w:rPr/>
            </w:r>
          </w:p>
        </w:tc>
        <w:tc>
          <w:tcPr>
            <w:tcW w:w="3401" w:type="dxa"/>
            <w:tcBorders>
              <w:top w:val="single" w:sz="6" w:space="0" w:color="000000"/>
              <w:start w:val="single" w:sz="6" w:space="0" w:color="000000"/>
              <w:bottom w:val="single" w:sz="6" w:space="0" w:color="000000"/>
              <w:end w:val="single" w:sz="6" w:space="0" w:color="000000"/>
            </w:tcBorders>
          </w:tcPr>
          <w:p>
            <w:pPr>
              <w:pStyle w:val="Normal"/>
              <w:rPr/>
            </w:pPr>
            <w:r>
              <w:rPr/>
              <w:t>Ken Lay’s Diversity Advisory Group – I’ve been asked to be on this group to help determine how Enron evolves toward a more diverse culture.  Time commitment is unknown at this point.</w:t>
            </w:r>
          </w:p>
          <w:p>
            <w:pPr>
              <w:pStyle w:val="Normal"/>
              <w:rPr/>
            </w:pPr>
            <w:r>
              <w:rPr/>
            </w:r>
          </w:p>
          <w:p>
            <w:pPr>
              <w:pStyle w:val="Normal"/>
              <w:rPr/>
            </w:pPr>
            <w:r>
              <w:rPr/>
            </w:r>
          </w:p>
        </w:tc>
      </w:tr>
      <w:tr>
        <w:trPr/>
        <w:tc>
          <w:tcPr>
            <w:tcW w:w="1284"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725"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321"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47" w:type="dxa"/>
            <w:tcBorders>
              <w:top w:val="single" w:sz="6" w:space="0" w:color="000000"/>
              <w:start w:val="single" w:sz="6" w:space="0" w:color="000000"/>
              <w:bottom w:val="single" w:sz="6" w:space="0" w:color="000000"/>
              <w:end w:val="single" w:sz="6" w:space="0" w:color="000000"/>
            </w:tcBorders>
          </w:tcPr>
          <w:p>
            <w:pPr>
              <w:pStyle w:val="Normal"/>
              <w:rPr/>
            </w:pPr>
            <w:r>
              <w:rPr/>
              <w:t>.</w:t>
            </w:r>
          </w:p>
        </w:tc>
        <w:tc>
          <w:tcPr>
            <w:tcW w:w="3401"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1284" w:type="dxa"/>
            <w:tcBorders>
              <w:top w:val="single" w:sz="6" w:space="0" w:color="000000"/>
              <w:start w:val="single" w:sz="6" w:space="0" w:color="000000"/>
              <w:bottom w:val="single" w:sz="6" w:space="0" w:color="000000"/>
              <w:end w:val="single" w:sz="6" w:space="0" w:color="000000"/>
            </w:tcBorders>
          </w:tcPr>
          <w:p>
            <w:pPr>
              <w:pStyle w:val="Normal"/>
              <w:rPr/>
            </w:pPr>
            <w:r>
              <w:rPr/>
              <w:t>Dasovich</w:t>
            </w:r>
          </w:p>
        </w:tc>
        <w:tc>
          <w:tcPr>
            <w:tcW w:w="2725"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321" w:type="dxa"/>
            <w:tcBorders>
              <w:top w:val="single" w:sz="6" w:space="0" w:color="000000"/>
              <w:start w:val="single" w:sz="6" w:space="0" w:color="000000"/>
              <w:bottom w:val="single" w:sz="6" w:space="0" w:color="000000"/>
              <w:end w:val="single" w:sz="6" w:space="0" w:color="000000"/>
            </w:tcBorders>
          </w:tcPr>
          <w:p>
            <w:pPr>
              <w:pStyle w:val="Normal"/>
              <w:rPr/>
            </w:pPr>
            <w:r>
              <w:rPr/>
              <w:t>Gain certification from the California PUC for ECI to operate in California.</w:t>
            </w:r>
          </w:p>
          <w:p>
            <w:pPr>
              <w:pStyle w:val="Normal"/>
              <w:rPr/>
            </w:pPr>
            <w:r>
              <w:rPr/>
            </w:r>
          </w:p>
          <w:p>
            <w:pPr>
              <w:pStyle w:val="Normal"/>
              <w:rPr/>
            </w:pPr>
            <w:r>
              <w:rPr/>
              <w:t>Voltage buy-up deal with Cal State University--Fresno.</w:t>
            </w:r>
          </w:p>
          <w:p>
            <w:pPr>
              <w:pStyle w:val="Normal"/>
              <w:rPr/>
            </w:pPr>
            <w:r>
              <w:rPr/>
            </w:r>
          </w:p>
          <w:p>
            <w:pPr>
              <w:pStyle w:val="Normal"/>
              <w:rPr/>
            </w:pPr>
            <w:r>
              <w:rPr/>
              <w:t xml:space="preserve">Explore potential BUG-style deals with </w:t>
            </w:r>
          </w:p>
          <w:p>
            <w:pPr>
              <w:pStyle w:val="Normal"/>
              <w:rPr/>
            </w:pPr>
            <w:r>
              <w:rPr/>
            </w:r>
          </w:p>
          <w:p>
            <w:pPr>
              <w:pStyle w:val="Normal"/>
              <w:rPr/>
            </w:pPr>
            <w:r>
              <w:rPr/>
              <w:t>SoCalGas/PG&amp;E/SDG&amp;E (1 in a million shot)</w:t>
            </w:r>
          </w:p>
        </w:tc>
        <w:tc>
          <w:tcPr>
            <w:tcW w:w="3147" w:type="dxa"/>
            <w:tcBorders>
              <w:top w:val="single" w:sz="6" w:space="0" w:color="000000"/>
              <w:start w:val="single" w:sz="6" w:space="0" w:color="000000"/>
              <w:bottom w:val="single" w:sz="6" w:space="0" w:color="000000"/>
              <w:end w:val="single" w:sz="6" w:space="0" w:color="000000"/>
            </w:tcBorders>
          </w:tcPr>
          <w:p>
            <w:pPr>
              <w:pStyle w:val="Normal"/>
              <w:rPr/>
            </w:pPr>
            <w:r>
              <w:rPr/>
              <w:t>Natural Gas Industry Restructuring.  Continue to work with coalition of marketers, customers and others to develop a comprehensive proposal to restructure California's gas markets.  Will file the proposal with the California PUC in January.  SoCalGas will file its proposal (agreed to by CMA and some other large producers/consumers) at about the same time.</w:t>
            </w:r>
          </w:p>
          <w:p>
            <w:pPr>
              <w:pStyle w:val="Normal"/>
              <w:rPr/>
            </w:pPr>
            <w:r>
              <w:rPr/>
            </w:r>
          </w:p>
          <w:p>
            <w:pPr>
              <w:pStyle w:val="Normal"/>
              <w:rPr/>
            </w:pPr>
            <w:r>
              <w:rPr/>
              <w:t>Distributed Generation.  Participate in workshops to reform interconnection rules, stand-by tariffs</w:t>
            </w:r>
          </w:p>
          <w:p>
            <w:pPr>
              <w:pStyle w:val="Normal"/>
              <w:rPr/>
            </w:pPr>
            <w:r>
              <w:rPr/>
            </w:r>
          </w:p>
          <w:p>
            <w:pPr>
              <w:pStyle w:val="Normal"/>
              <w:rPr/>
            </w:pPr>
            <w:r>
              <w:rPr/>
              <w:t>Rate Design.  Work with R. Yang, H. Kingerski, P. Keene and consultant to explore possibility of establishing Enron-created rate design for submission in PG&amp;E's rate case.  If the project is feasible/successful, there is the potential to use elsewhere in the U.S.</w:t>
            </w:r>
          </w:p>
        </w:tc>
        <w:tc>
          <w:tcPr>
            <w:tcW w:w="3401" w:type="dxa"/>
            <w:tcBorders>
              <w:top w:val="single" w:sz="6" w:space="0" w:color="000000"/>
              <w:start w:val="single" w:sz="6" w:space="0" w:color="000000"/>
              <w:bottom w:val="single" w:sz="6" w:space="0" w:color="000000"/>
              <w:end w:val="single" w:sz="6" w:space="0" w:color="000000"/>
            </w:tcBorders>
          </w:tcPr>
          <w:p>
            <w:pPr>
              <w:pStyle w:val="Normal"/>
              <w:rPr/>
            </w:pPr>
            <w:r>
              <w:rPr/>
              <w:t>Attend CFEE conference on air quality regulation in California (12/7-8).</w:t>
            </w:r>
          </w:p>
        </w:tc>
      </w:tr>
      <w:tr>
        <w:trPr/>
        <w:tc>
          <w:tcPr>
            <w:tcW w:w="1284"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725"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321"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4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401"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1284" w:type="dxa"/>
            <w:tcBorders>
              <w:top w:val="single" w:sz="6" w:space="0" w:color="000000"/>
              <w:start w:val="single" w:sz="6" w:space="0" w:color="000000"/>
              <w:bottom w:val="single" w:sz="6" w:space="0" w:color="000000"/>
              <w:end w:val="single" w:sz="6" w:space="0" w:color="000000"/>
            </w:tcBorders>
          </w:tcPr>
          <w:p>
            <w:pPr>
              <w:pStyle w:val="Normal"/>
              <w:rPr/>
            </w:pPr>
            <w:r>
              <w:rPr/>
              <w:t>Petrochko</w:t>
            </w:r>
          </w:p>
        </w:tc>
        <w:tc>
          <w:tcPr>
            <w:tcW w:w="2725" w:type="dxa"/>
            <w:tcBorders>
              <w:top w:val="single" w:sz="6" w:space="0" w:color="000000"/>
              <w:start w:val="single" w:sz="6" w:space="0" w:color="000000"/>
              <w:bottom w:val="single" w:sz="6" w:space="0" w:color="000000"/>
              <w:end w:val="single" w:sz="6" w:space="0" w:color="000000"/>
            </w:tcBorders>
          </w:tcPr>
          <w:p>
            <w:pPr>
              <w:pStyle w:val="Normal"/>
              <w:rPr/>
            </w:pPr>
            <w:r>
              <w:rPr/>
              <w:t>PG&amp;E’s GRC: Until a decision is issued, continue coordinating with coalition, lobby Commissioners, work with news media (editorial boards) on press coverage, meet with governor’s office and key legislators.  If an alternate is issued must coordinate comments and reply comments.</w:t>
            </w:r>
          </w:p>
          <w:p>
            <w:pPr>
              <w:pStyle w:val="Normal"/>
              <w:rPr/>
            </w:pPr>
            <w:r>
              <w:rPr/>
            </w:r>
          </w:p>
          <w:p>
            <w:pPr>
              <w:pStyle w:val="Normal"/>
              <w:rPr/>
            </w:pPr>
            <w:r>
              <w:rPr/>
              <w:t>Hydro:  Meeting with IEP and RCRC on auction process on December 8 and 13 respectively.  Expect scoping memo to be issued soon.</w:t>
            </w:r>
          </w:p>
          <w:p>
            <w:pPr>
              <w:pStyle w:val="Normal"/>
              <w:rPr/>
            </w:pPr>
            <w:r>
              <w:rPr/>
            </w:r>
          </w:p>
          <w:p>
            <w:pPr>
              <w:pStyle w:val="Normal"/>
              <w:rPr/>
            </w:pPr>
            <w:r>
              <w:rPr/>
              <w:t xml:space="preserve">RCS/SF:  Develop Testimony, identify witnesses, meet with ORA/TURN other parties that are expected to be active on this issue.  Identify possible conflicts/synergies with other parties’ testimony.  </w:t>
            </w:r>
          </w:p>
          <w:p>
            <w:pPr>
              <w:pStyle w:val="Normal"/>
              <w:rPr/>
            </w:pPr>
            <w:r>
              <w:rPr/>
            </w:r>
          </w:p>
          <w:p>
            <w:pPr>
              <w:pStyle w:val="Normal"/>
              <w:rPr/>
            </w:pPr>
            <w:r>
              <w:rPr/>
              <w:t>SCE 376 Settlement Decision:  The Commission has issued an interpretation of the 376 Settlement Decision, stating that SCE can only seek to recover monies actually spent during the rate freeze, even if under the cap ($160 million).  We expect SCE to file comments on this interpretation that we may need to respond to.</w:t>
            </w:r>
          </w:p>
          <w:p>
            <w:pPr>
              <w:pStyle w:val="Normal"/>
              <w:rPr/>
            </w:pPr>
            <w:r>
              <w:rPr/>
            </w:r>
          </w:p>
          <w:p>
            <w:pPr>
              <w:pStyle w:val="Normal"/>
              <w:rPr/>
            </w:pPr>
            <w:r>
              <w:rPr/>
              <w:t>Other ARM Activities:  Reply comments on SDG&amp;E’s Procurement PBR Settlement.  Meetings with ARM Members weekly.</w:t>
            </w:r>
          </w:p>
        </w:tc>
        <w:tc>
          <w:tcPr>
            <w:tcW w:w="3321"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47" w:type="dxa"/>
            <w:tcBorders>
              <w:top w:val="single" w:sz="6" w:space="0" w:color="000000"/>
              <w:start w:val="single" w:sz="6" w:space="0" w:color="000000"/>
              <w:bottom w:val="single" w:sz="6" w:space="0" w:color="000000"/>
              <w:end w:val="single" w:sz="6" w:space="0" w:color="000000"/>
            </w:tcBorders>
          </w:tcPr>
          <w:p>
            <w:pPr>
              <w:pStyle w:val="Normal"/>
              <w:rPr/>
            </w:pPr>
            <w:r>
              <w:rPr/>
              <w:t>Meeting with AB 1890 Implementation Group in Napa on December 1 and 3.  Various issues associated with restructured market.  Expect Steve Peace and Rod Wright to moderate panels.  Hydro is an issue on the agenda.</w:t>
            </w:r>
          </w:p>
          <w:p>
            <w:pPr>
              <w:pStyle w:val="Normal"/>
              <w:rPr/>
            </w:pPr>
            <w:r>
              <w:rPr/>
            </w:r>
          </w:p>
          <w:p>
            <w:pPr>
              <w:pStyle w:val="Normal"/>
              <w:rPr/>
            </w:pPr>
            <w:r>
              <w:rPr/>
              <w:t>Meetings with various legislators. Meeting with Steve Peace December 7 in San Diego.  Discuss various Enron activities and likely issues for next session.</w:t>
            </w:r>
          </w:p>
          <w:p>
            <w:pPr>
              <w:pStyle w:val="Normal"/>
              <w:rPr/>
            </w:pPr>
            <w:r>
              <w:rPr/>
            </w:r>
          </w:p>
          <w:p>
            <w:pPr>
              <w:pStyle w:val="Normal"/>
              <w:rPr/>
            </w:pPr>
            <w:r>
              <w:rPr/>
              <w:t>December 10, luncheon with Barbara Boxer</w:t>
            </w:r>
          </w:p>
          <w:p>
            <w:pPr>
              <w:pStyle w:val="Normal"/>
              <w:rPr/>
            </w:pPr>
            <w:r>
              <w:rPr/>
            </w:r>
          </w:p>
        </w:tc>
        <w:tc>
          <w:tcPr>
            <w:tcW w:w="3401"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1284"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725"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321"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4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401"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1284" w:type="dxa"/>
            <w:tcBorders>
              <w:top w:val="single" w:sz="6" w:space="0" w:color="000000"/>
              <w:start w:val="single" w:sz="6" w:space="0" w:color="000000"/>
              <w:bottom w:val="single" w:sz="6" w:space="0" w:color="000000"/>
              <w:end w:val="single" w:sz="6" w:space="0" w:color="000000"/>
            </w:tcBorders>
          </w:tcPr>
          <w:p>
            <w:pPr>
              <w:pStyle w:val="Normal"/>
              <w:rPr/>
            </w:pPr>
            <w:r>
              <w:rPr/>
              <w:t>Milner</w:t>
            </w:r>
          </w:p>
        </w:tc>
        <w:tc>
          <w:tcPr>
            <w:tcW w:w="2725"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321"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47" w:type="dxa"/>
            <w:tcBorders>
              <w:top w:val="single" w:sz="6" w:space="0" w:color="000000"/>
              <w:start w:val="single" w:sz="6" w:space="0" w:color="000000"/>
              <w:bottom w:val="single" w:sz="6" w:space="0" w:color="000000"/>
              <w:end w:val="single" w:sz="6" w:space="0" w:color="000000"/>
            </w:tcBorders>
          </w:tcPr>
          <w:p>
            <w:pPr>
              <w:pStyle w:val="Normal"/>
              <w:rPr/>
            </w:pPr>
            <w:r>
              <w:rPr/>
              <w:t>Desert STAR Advisory Committee Meeting.  The committee will be reviewing potential board candidates provided by the search firm.  I am going to attempt to sit in for Tom, although I don’t know that alternates will be permitted.</w:t>
            </w:r>
          </w:p>
          <w:p>
            <w:pPr>
              <w:pStyle w:val="Normal"/>
              <w:rPr/>
            </w:pPr>
            <w:r>
              <w:rPr/>
            </w:r>
          </w:p>
          <w:p>
            <w:pPr>
              <w:pStyle w:val="Normal"/>
              <w:rPr/>
            </w:pPr>
            <w:r>
              <w:rPr/>
              <w:t>ACC is holding a special open meeting addressing Rule R14-2-1609E that requires the AISA to file an implementation plan with the ACC within 30 days of adoption of the electric competition rules, approved on 9/29/99.  They are requesting an explanation defining what our organization (and others) have done to sufficiently participate and contribute to efforts to form and implement an Arizona ISA. They have threatened to suspend EES’s CC&amp;N if we have failed to take all steps necessary to bring the AISA into compliance.  I am forwarding this to Paul Kaufman and Phyllis Anzalone for advisement per Tom’s request.</w:t>
            </w:r>
          </w:p>
          <w:p>
            <w:pPr>
              <w:pStyle w:val="Normal"/>
              <w:rPr/>
            </w:pPr>
            <w:r>
              <w:rPr/>
            </w:r>
          </w:p>
          <w:p>
            <w:pPr>
              <w:pStyle w:val="Normal"/>
              <w:rPr/>
            </w:pPr>
            <w:r>
              <w:rPr/>
              <w:t xml:space="preserve">Western Market Interface Committee (WMIC) meets in Phoenix.  This group was formed from the RTA’s commercial practices group.  </w:t>
            </w:r>
          </w:p>
          <w:p>
            <w:pPr>
              <w:pStyle w:val="Normal"/>
              <w:rPr/>
            </w:pPr>
            <w:r>
              <w:rPr/>
              <w:t>Tom, Carl Imparato and I are to meet with Deb Scott, the new Director of the ACC Utilities Division.</w:t>
            </w:r>
          </w:p>
          <w:p>
            <w:pPr>
              <w:pStyle w:val="Normal"/>
              <w:rPr/>
            </w:pPr>
            <w:r>
              <w:rPr/>
            </w:r>
          </w:p>
          <w:p>
            <w:pPr>
              <w:pStyle w:val="Normal"/>
              <w:rPr/>
            </w:pPr>
            <w:r>
              <w:rPr/>
            </w:r>
          </w:p>
        </w:tc>
        <w:tc>
          <w:tcPr>
            <w:tcW w:w="3401"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1284"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725"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321"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4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401"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1284" w:type="dxa"/>
            <w:tcBorders>
              <w:top w:val="single" w:sz="6" w:space="0" w:color="000000"/>
              <w:start w:val="single" w:sz="6" w:space="0" w:color="000000"/>
              <w:bottom w:val="single" w:sz="6" w:space="0" w:color="000000"/>
              <w:end w:val="single" w:sz="6" w:space="0" w:color="000000"/>
            </w:tcBorders>
          </w:tcPr>
          <w:p>
            <w:pPr>
              <w:pStyle w:val="Normal"/>
              <w:rPr/>
            </w:pPr>
            <w:r>
              <w:rPr/>
              <w:t>Kaufman</w:t>
            </w:r>
          </w:p>
        </w:tc>
        <w:tc>
          <w:tcPr>
            <w:tcW w:w="2725" w:type="dxa"/>
            <w:tcBorders>
              <w:top w:val="single" w:sz="6" w:space="0" w:color="000000"/>
              <w:start w:val="single" w:sz="6" w:space="0" w:color="000000"/>
              <w:bottom w:val="single" w:sz="6" w:space="0" w:color="000000"/>
              <w:end w:val="single" w:sz="6" w:space="0" w:color="000000"/>
            </w:tcBorders>
          </w:tcPr>
          <w:p>
            <w:pPr>
              <w:pStyle w:val="Normal"/>
              <w:rPr/>
            </w:pPr>
            <w:r>
              <w:rPr/>
              <w:t>Work with Sierra and PGE personnel to finalize filing on sale of PGE before both OPUC and PUCN.</w:t>
            </w:r>
          </w:p>
        </w:tc>
        <w:tc>
          <w:tcPr>
            <w:tcW w:w="3321" w:type="dxa"/>
            <w:tcBorders>
              <w:top w:val="single" w:sz="6" w:space="0" w:color="000000"/>
              <w:start w:val="single" w:sz="6" w:space="0" w:color="000000"/>
              <w:bottom w:val="single" w:sz="6" w:space="0" w:color="000000"/>
              <w:end w:val="single" w:sz="6" w:space="0" w:color="000000"/>
            </w:tcBorders>
          </w:tcPr>
          <w:p>
            <w:pPr>
              <w:pStyle w:val="Normal"/>
              <w:rPr/>
            </w:pPr>
            <w:r>
              <w:rPr/>
              <w:t>Work with ENA to support buyout/restructuring of Las Vegas Cogen contract.</w:t>
            </w:r>
          </w:p>
          <w:p>
            <w:pPr>
              <w:pStyle w:val="Normal"/>
              <w:rPr/>
            </w:pPr>
            <w:r>
              <w:rPr/>
            </w:r>
          </w:p>
          <w:p>
            <w:pPr>
              <w:pStyle w:val="Normal"/>
              <w:rPr/>
            </w:pPr>
            <w:r>
              <w:rPr/>
              <w:t>Support ENA efforts to develop provider of last resort for Nevada.</w:t>
            </w:r>
          </w:p>
          <w:p>
            <w:pPr>
              <w:pStyle w:val="Normal"/>
              <w:rPr/>
            </w:pPr>
            <w:r>
              <w:rPr/>
            </w:r>
          </w:p>
          <w:p>
            <w:pPr>
              <w:pStyle w:val="Normal"/>
              <w:rPr/>
            </w:pPr>
            <w:r>
              <w:rPr/>
              <w:t>Support ENA efforts to develop provider of last resort for Montana</w:t>
            </w:r>
          </w:p>
          <w:p>
            <w:pPr>
              <w:pStyle w:val="Normal"/>
              <w:rPr/>
            </w:pPr>
            <w:r>
              <w:rPr/>
            </w:r>
          </w:p>
          <w:p>
            <w:pPr>
              <w:pStyle w:val="Normal"/>
              <w:rPr/>
            </w:pPr>
            <w:r>
              <w:rPr/>
              <w:t>Support ENA efforts to develop provider of last resort for Montana.</w:t>
            </w:r>
          </w:p>
        </w:tc>
        <w:tc>
          <w:tcPr>
            <w:tcW w:w="3147" w:type="dxa"/>
            <w:tcBorders>
              <w:top w:val="single" w:sz="6" w:space="0" w:color="000000"/>
              <w:start w:val="single" w:sz="6" w:space="0" w:color="000000"/>
              <w:bottom w:val="single" w:sz="6" w:space="0" w:color="000000"/>
              <w:end w:val="single" w:sz="6" w:space="0" w:color="000000"/>
            </w:tcBorders>
          </w:tcPr>
          <w:p>
            <w:pPr>
              <w:pStyle w:val="Normal"/>
              <w:rPr/>
            </w:pPr>
            <w:r>
              <w:rPr/>
              <w:t>Continue to monitor and participate in proceedings before PUCN to ensure open market by spring 2000.</w:t>
            </w:r>
          </w:p>
          <w:p>
            <w:pPr>
              <w:pStyle w:val="Normal"/>
              <w:rPr/>
            </w:pPr>
            <w:r>
              <w:rPr/>
            </w:r>
          </w:p>
          <w:p>
            <w:pPr>
              <w:pStyle w:val="Normal"/>
              <w:rPr/>
            </w:pPr>
            <w:r>
              <w:rPr/>
              <w:t>Work with Colorado associations to support legislative efforts in Colorado.</w:t>
            </w:r>
          </w:p>
          <w:p>
            <w:pPr>
              <w:pStyle w:val="Normal"/>
              <w:rPr/>
            </w:pPr>
            <w:r>
              <w:rPr/>
            </w:r>
          </w:p>
          <w:p>
            <w:pPr>
              <w:pStyle w:val="Normal"/>
              <w:rPr/>
            </w:pPr>
            <w:r>
              <w:rPr/>
              <w:t>Work with McMullen Strategic Group to implement campaign contribution strategy</w:t>
            </w:r>
          </w:p>
        </w:tc>
        <w:tc>
          <w:tcPr>
            <w:tcW w:w="3401" w:type="dxa"/>
            <w:tcBorders>
              <w:top w:val="single" w:sz="6" w:space="0" w:color="000000"/>
              <w:start w:val="single" w:sz="6" w:space="0" w:color="000000"/>
              <w:bottom w:val="single" w:sz="6" w:space="0" w:color="000000"/>
              <w:end w:val="single" w:sz="6" w:space="0" w:color="000000"/>
            </w:tcBorders>
          </w:tcPr>
          <w:p>
            <w:pPr>
              <w:pStyle w:val="Normal"/>
              <w:rPr/>
            </w:pPr>
            <w:r>
              <w:rPr/>
              <w:t>Administrative responsibilities including RCRs, budgets, and other matters.</w:t>
            </w:r>
          </w:p>
          <w:p>
            <w:pPr>
              <w:pStyle w:val="Normal"/>
              <w:rPr/>
            </w:pPr>
            <w:r>
              <w:rPr/>
            </w:r>
          </w:p>
          <w:p>
            <w:pPr>
              <w:pStyle w:val="Normal"/>
              <w:rPr/>
            </w:pPr>
            <w:r>
              <w:rPr/>
              <w:t>Participate as board member of Metropolitan Family Services</w:t>
            </w:r>
          </w:p>
        </w:tc>
      </w:tr>
      <w:tr>
        <w:trPr/>
        <w:tc>
          <w:tcPr>
            <w:tcW w:w="1284"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725"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321"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47" w:type="dxa"/>
            <w:tcBorders>
              <w:top w:val="single" w:sz="6" w:space="0" w:color="000000"/>
              <w:start w:val="single" w:sz="6" w:space="0" w:color="000000"/>
              <w:bottom w:val="single" w:sz="6" w:space="0" w:color="000000"/>
              <w:end w:val="single" w:sz="6" w:space="0" w:color="000000"/>
            </w:tcBorders>
          </w:tcPr>
          <w:p>
            <w:pPr>
              <w:pStyle w:val="Normal"/>
              <w:rPr/>
            </w:pPr>
            <w:r>
              <w:rPr/>
              <w:t>.</w:t>
            </w:r>
          </w:p>
        </w:tc>
        <w:tc>
          <w:tcPr>
            <w:tcW w:w="3401"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1284" w:type="dxa"/>
            <w:tcBorders>
              <w:top w:val="single" w:sz="6" w:space="0" w:color="000000"/>
              <w:start w:val="single" w:sz="6" w:space="0" w:color="000000"/>
              <w:bottom w:val="single" w:sz="6" w:space="0" w:color="000000"/>
              <w:end w:val="single" w:sz="6" w:space="0" w:color="000000"/>
            </w:tcBorders>
          </w:tcPr>
          <w:p>
            <w:pPr>
              <w:pStyle w:val="Normal"/>
              <w:rPr/>
            </w:pPr>
            <w:r>
              <w:rPr/>
              <w:t>McCubbin</w:t>
            </w:r>
          </w:p>
        </w:tc>
        <w:tc>
          <w:tcPr>
            <w:tcW w:w="2725" w:type="dxa"/>
            <w:tcBorders>
              <w:top w:val="single" w:sz="6" w:space="0" w:color="000000"/>
              <w:start w:val="single" w:sz="6" w:space="0" w:color="000000"/>
              <w:bottom w:val="single" w:sz="6" w:space="0" w:color="000000"/>
              <w:end w:val="single" w:sz="6" w:space="0" w:color="000000"/>
            </w:tcBorders>
          </w:tcPr>
          <w:p>
            <w:pPr>
              <w:pStyle w:val="Normal"/>
              <w:rPr/>
            </w:pPr>
            <w:r>
              <w:rPr/>
              <w:t>Meetings with key legilslators, govenors office and media regarding PGE’s GRC</w:t>
            </w:r>
          </w:p>
          <w:p>
            <w:pPr>
              <w:pStyle w:val="Normal"/>
              <w:rPr/>
            </w:pPr>
            <w:r>
              <w:rPr/>
            </w:r>
          </w:p>
          <w:p>
            <w:pPr>
              <w:pStyle w:val="Normal"/>
              <w:rPr/>
            </w:pPr>
            <w:r>
              <w:rPr/>
              <w:t>Meeting with Steve Peace, Mona Petrochko, Bev Hanson, Dave Parquet and Greg Piper regarding Enron'’ plans for California and Peace’s agenda for next year</w:t>
            </w:r>
          </w:p>
        </w:tc>
        <w:tc>
          <w:tcPr>
            <w:tcW w:w="3321"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47" w:type="dxa"/>
            <w:tcBorders>
              <w:top w:val="single" w:sz="6" w:space="0" w:color="000000"/>
              <w:start w:val="single" w:sz="6" w:space="0" w:color="000000"/>
              <w:bottom w:val="single" w:sz="6" w:space="0" w:color="000000"/>
              <w:end w:val="single" w:sz="6" w:space="0" w:color="000000"/>
            </w:tcBorders>
          </w:tcPr>
          <w:p>
            <w:pPr>
              <w:pStyle w:val="Normal"/>
              <w:rPr/>
            </w:pPr>
            <w:r>
              <w:rPr/>
              <w:t xml:space="preserve">Meeting with AB1890 group to  discuss continuation of organization </w:t>
            </w:r>
          </w:p>
          <w:p>
            <w:pPr>
              <w:pStyle w:val="Normal"/>
              <w:rPr/>
            </w:pPr>
            <w:r>
              <w:rPr/>
              <w:t>And legislative agenda for next year</w:t>
            </w:r>
          </w:p>
          <w:p>
            <w:pPr>
              <w:pStyle w:val="Normal"/>
              <w:rPr/>
            </w:pPr>
            <w:r>
              <w:rPr/>
              <w:t xml:space="preserve"> </w:t>
            </w:r>
          </w:p>
          <w:p>
            <w:pPr>
              <w:pStyle w:val="Normal"/>
              <w:rPr/>
            </w:pPr>
            <w:r>
              <w:rPr/>
              <w:t>Attend fundraisors for Gray Davis and Senator John Burton</w:t>
            </w:r>
          </w:p>
          <w:p>
            <w:pPr>
              <w:pStyle w:val="Normal"/>
              <w:rPr/>
            </w:pPr>
            <w:r>
              <w:rPr/>
            </w:r>
          </w:p>
          <w:p>
            <w:pPr>
              <w:pStyle w:val="Normal"/>
              <w:rPr/>
            </w:pPr>
            <w:r>
              <w:rPr/>
              <w:t>Meetings with lobbyists and other stakeholders regarding legislative agenda for 2000</w:t>
            </w:r>
          </w:p>
          <w:p>
            <w:pPr>
              <w:pStyle w:val="Normal"/>
              <w:rPr/>
            </w:pPr>
            <w:r>
              <w:rPr/>
              <w:t>r</w:t>
            </w:r>
          </w:p>
        </w:tc>
        <w:tc>
          <w:tcPr>
            <w:tcW w:w="3401"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1284"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725"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321"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14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401"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Normal"/>
        <w:rPr/>
      </w:pPr>
      <w:r>
        <w:rPr/>
      </w:r>
    </w:p>
    <w:sectPr>
      <w:headerReference w:type="default" r:id="rId2"/>
      <w:type w:val="nextPage"/>
      <w:pgSz w:orient="landscape" w:w="15840" w:h="12240"/>
      <w:pgMar w:left="1440" w:right="1440" w:gutter="0" w:header="72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p>
    <w:pPr>
      <w:pStyle w:val="Header"/>
      <w:jc w:val="center"/>
      <w:rPr>
        <w:b/>
        <w:sz w:val="32"/>
      </w:rPr>
    </w:pPr>
    <w:r>
      <w:rPr>
        <w:b/>
        <w:sz w:val="32"/>
      </w:rPr>
      <w:t>Internal Resource Tracking Form:  West Region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aps/>
      <w:sz w:val="24"/>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1999-12-15T13:10:00Z</dcterms:created>
  <dc:creator>pkaufma</dc:creator>
  <dc:description/>
  <dc:language>en-CA</dc:language>
  <cp:lastModifiedBy>gderneh</cp:lastModifiedBy>
  <dcterms:modified xsi:type="dcterms:W3CDTF">1999-12-15T13:10:00Z</dcterms:modified>
  <cp:revision>2</cp:revision>
  <dc:subject/>
  <dc:title>PERSON</dc:title>
</cp:coreProperties>
</file>